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388E5" w14:textId="503209D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103-e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4703CA">
        <w:rPr>
          <w:sz w:val="32"/>
          <w:szCs w:val="32"/>
        </w:rPr>
        <w:t>20</w:t>
      </w:r>
      <w:r w:rsidR="00FB2374">
        <w:rPr>
          <w:sz w:val="32"/>
          <w:szCs w:val="32"/>
        </w:rPr>
        <w:t>09289</w:t>
      </w:r>
    </w:p>
    <w:p w14:paraId="0CE7B7E6" w14:textId="4B5EC21B" w:rsidR="00E90E49" w:rsidRPr="00CE0424" w:rsidRDefault="0083546B" w:rsidP="00311702">
      <w:pPr>
        <w:pStyle w:val="3GPPHeader"/>
      </w:pPr>
      <w:r>
        <w:t>Online, October 26</w:t>
      </w:r>
      <w:r w:rsidRPr="0083546B">
        <w:rPr>
          <w:vertAlign w:val="superscript"/>
        </w:rPr>
        <w:t>th</w:t>
      </w:r>
      <w:r>
        <w:t xml:space="preserve"> – November 13</w:t>
      </w:r>
      <w:r w:rsidRPr="0083546B">
        <w:rPr>
          <w:vertAlign w:val="superscript"/>
        </w:rPr>
        <w:t>th</w:t>
      </w:r>
      <w:r>
        <w:t xml:space="preserve"> 2020</w:t>
      </w:r>
    </w:p>
    <w:p w14:paraId="3086AC07" w14:textId="77777777" w:rsidR="00E90E49" w:rsidRPr="00CE0424" w:rsidRDefault="00E90E49" w:rsidP="00357380">
      <w:pPr>
        <w:pStyle w:val="3GPPHeader"/>
      </w:pPr>
    </w:p>
    <w:p w14:paraId="3982483C" w14:textId="68DC594E" w:rsidR="00E90E49" w:rsidRPr="005F27B9" w:rsidRDefault="00E90E49" w:rsidP="00311702">
      <w:pPr>
        <w:pStyle w:val="3GPPHeader"/>
        <w:rPr>
          <w:sz w:val="22"/>
        </w:rPr>
      </w:pPr>
      <w:r w:rsidRPr="005F27B9">
        <w:rPr>
          <w:sz w:val="22"/>
        </w:rPr>
        <w:t>Agenda Item:</w:t>
      </w:r>
      <w:r w:rsidRPr="005F27B9">
        <w:rPr>
          <w:sz w:val="22"/>
        </w:rPr>
        <w:tab/>
      </w:r>
      <w:r w:rsidR="009C2001" w:rsidRPr="005F27B9">
        <w:rPr>
          <w:sz w:val="22"/>
        </w:rPr>
        <w:t>8.14.2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B2496AD"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Initial XR performance evaluations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38E5E685" w:rsidR="00477768" w:rsidRDefault="005F27B9" w:rsidP="00CE0424">
      <w:pPr>
        <w:pStyle w:val="BodyText"/>
      </w:pPr>
      <w:r>
        <w:t xml:space="preserve">In </w:t>
      </w:r>
      <w:r>
        <w:fldChar w:fldCharType="begin"/>
      </w:r>
      <w:r>
        <w:instrText xml:space="preserve"> REF _Ref54269807 \r \h </w:instrText>
      </w:r>
      <w:r>
        <w:fldChar w:fldCharType="separate"/>
      </w:r>
      <w:r w:rsidR="008962D8">
        <w:t>[1]</w:t>
      </w:r>
      <w:r>
        <w:fldChar w:fldCharType="end"/>
      </w:r>
      <w:r>
        <w:t xml:space="preserve">, a new SI on evaluations for XR was agreed. In this contribution, we provide some initial system simulations for one particular </w:t>
      </w:r>
      <w:r w:rsidR="00804048">
        <w:t>scenario and</w:t>
      </w:r>
      <w:r>
        <w:t xml:space="preserve"> highlight the impact </w:t>
      </w:r>
      <w:r w:rsidR="00C37E77">
        <w:t xml:space="preserve">of </w:t>
      </w:r>
      <w:r>
        <w:t>some factors that affect the capacity.</w:t>
      </w:r>
    </w:p>
    <w:p w14:paraId="66C93C27" w14:textId="18AC2521" w:rsidR="00264643" w:rsidRPr="00CE0424" w:rsidRDefault="00264643" w:rsidP="00CE0424">
      <w:pPr>
        <w:pStyle w:val="BodyText"/>
      </w:pPr>
      <w:r>
        <w:t>The first results will be on DL, according to our preferred priority order. However, it is important to also study UL.</w:t>
      </w:r>
    </w:p>
    <w:p w14:paraId="60123794" w14:textId="3B288459" w:rsidR="004000E8" w:rsidRDefault="00230D18" w:rsidP="00CE0424">
      <w:pPr>
        <w:pStyle w:val="Heading1"/>
      </w:pPr>
      <w:bookmarkStart w:id="0" w:name="_Ref178064866"/>
      <w:r>
        <w:t>2</w:t>
      </w:r>
      <w:r>
        <w:tab/>
      </w:r>
      <w:r w:rsidR="004000E8" w:rsidRPr="00CE0424">
        <w:t>Discussion</w:t>
      </w:r>
      <w:bookmarkEnd w:id="0"/>
    </w:p>
    <w:p w14:paraId="1C6A18C9" w14:textId="5F0BD8EA" w:rsidR="00540155" w:rsidRPr="00540155" w:rsidRDefault="00540155" w:rsidP="00540155">
      <w:pPr>
        <w:rPr>
          <w:lang w:val="en-GB" w:eastAsia="ja-JP"/>
        </w:rPr>
      </w:pPr>
      <w:r>
        <w:rPr>
          <w:lang w:val="en-GB" w:eastAsia="ja-JP"/>
        </w:rPr>
        <w:t xml:space="preserve">XR services are </w:t>
      </w:r>
      <w:r w:rsidR="00E60B84">
        <w:rPr>
          <w:lang w:val="en-GB" w:eastAsia="ja-JP"/>
        </w:rPr>
        <w:t xml:space="preserve">one of the key services for 5G. </w:t>
      </w:r>
      <w:r w:rsidR="00AE5032">
        <w:rPr>
          <w:lang w:val="en-GB" w:eastAsia="ja-JP"/>
        </w:rPr>
        <w:t>XR require</w:t>
      </w:r>
      <w:r w:rsidR="00C37E77">
        <w:rPr>
          <w:lang w:val="en-GB" w:eastAsia="ja-JP"/>
        </w:rPr>
        <w:t>s</w:t>
      </w:r>
      <w:r w:rsidR="00AE5032">
        <w:rPr>
          <w:lang w:val="en-GB" w:eastAsia="ja-JP"/>
        </w:rPr>
        <w:t xml:space="preserve"> a bounded latency to ensure the QoE of the service. At the same time, the bit rate of XR services is in many cases high. This puts somewhat new requirements on the 5G radio interface, and</w:t>
      </w:r>
      <w:r w:rsidR="00E60B84">
        <w:rPr>
          <w:lang w:val="en-GB" w:eastAsia="ja-JP"/>
        </w:rPr>
        <w:t xml:space="preserve"> it is vital to understand the </w:t>
      </w:r>
      <w:r w:rsidR="00AE5032">
        <w:rPr>
          <w:lang w:val="en-GB" w:eastAsia="ja-JP"/>
        </w:rPr>
        <w:t>capacity impact of a wide-spread deployment of XR services in a cellular network.</w:t>
      </w:r>
    </w:p>
    <w:p w14:paraId="0A4EF65D" w14:textId="0E27E253" w:rsidR="005F27B9" w:rsidRDefault="00AE5032" w:rsidP="005F27B9">
      <w:pPr>
        <w:rPr>
          <w:lang w:val="en-GB" w:eastAsia="ja-JP"/>
        </w:rPr>
      </w:pPr>
      <w:r>
        <w:rPr>
          <w:lang w:val="en-GB" w:eastAsia="ja-JP"/>
        </w:rPr>
        <w:t xml:space="preserve">To support the understanding of mobile XR performance, an SI has been started in RAN1 </w:t>
      </w:r>
      <w:r>
        <w:rPr>
          <w:lang w:val="en-GB" w:eastAsia="ja-JP"/>
        </w:rPr>
        <w:fldChar w:fldCharType="begin"/>
      </w:r>
      <w:r>
        <w:rPr>
          <w:lang w:val="en-GB" w:eastAsia="ja-JP"/>
        </w:rPr>
        <w:instrText xml:space="preserve"> REF _Ref54269807 \r \h </w:instrText>
      </w:r>
      <w:r>
        <w:rPr>
          <w:lang w:val="en-GB" w:eastAsia="ja-JP"/>
        </w:rPr>
      </w:r>
      <w:r>
        <w:rPr>
          <w:lang w:val="en-GB" w:eastAsia="ja-JP"/>
        </w:rPr>
        <w:fldChar w:fldCharType="separate"/>
      </w:r>
      <w:r w:rsidR="008962D8">
        <w:rPr>
          <w:lang w:val="en-GB" w:eastAsia="ja-JP"/>
        </w:rPr>
        <w:t>[1]</w:t>
      </w:r>
      <w:r>
        <w:rPr>
          <w:lang w:val="en-GB" w:eastAsia="ja-JP"/>
        </w:rPr>
        <w:fldChar w:fldCharType="end"/>
      </w:r>
      <w:r>
        <w:rPr>
          <w:lang w:val="en-GB" w:eastAsia="ja-JP"/>
        </w:rPr>
        <w:t xml:space="preserve">. The target of the SI is to describe the performance of a baseline Rel-15/16 </w:t>
      </w:r>
      <w:r w:rsidR="00C37E77">
        <w:rPr>
          <w:lang w:val="en-GB" w:eastAsia="ja-JP"/>
        </w:rPr>
        <w:t xml:space="preserve">NR based </w:t>
      </w:r>
      <w:r>
        <w:rPr>
          <w:lang w:val="en-GB" w:eastAsia="ja-JP"/>
        </w:rPr>
        <w:t>cellular system.</w:t>
      </w:r>
    </w:p>
    <w:p w14:paraId="7F4A17FC" w14:textId="62134C06" w:rsidR="00DB1F21" w:rsidRDefault="00DB1F21" w:rsidP="005F27B9">
      <w:pPr>
        <w:rPr>
          <w:lang w:val="en-GB" w:eastAsia="ja-JP"/>
        </w:rPr>
      </w:pPr>
      <w:r>
        <w:rPr>
          <w:lang w:val="en-GB" w:eastAsia="ja-JP"/>
        </w:rPr>
        <w:t xml:space="preserve">The traffic model will be provided by SA4, but until this is available, we will employ a simple periodic model. In this contribution, we will use the traffic model parameters </w:t>
      </w:r>
      <w:r w:rsidR="00C37E77">
        <w:rPr>
          <w:lang w:val="en-GB" w:eastAsia="ja-JP"/>
        </w:rPr>
        <w:t>described</w:t>
      </w:r>
      <w:r>
        <w:rPr>
          <w:lang w:val="en-GB" w:eastAsia="ja-JP"/>
        </w:rPr>
        <w:t xml:space="preserve"> in</w:t>
      </w:r>
      <w:r w:rsidR="00C37E77">
        <w:rPr>
          <w:lang w:val="en-GB" w:eastAsia="ja-JP"/>
        </w:rPr>
        <w:t xml:space="preserve"> the table below.</w:t>
      </w:r>
      <w:r>
        <w:rPr>
          <w:lang w:val="en-GB" w:eastAsia="ja-JP"/>
        </w:rPr>
        <w:t xml:space="preserve"> </w:t>
      </w:r>
    </w:p>
    <w:tbl>
      <w:tblPr>
        <w:tblStyle w:val="GridTable4-Accent1"/>
        <w:tblW w:w="0" w:type="auto"/>
        <w:tblLook w:val="04A0" w:firstRow="1" w:lastRow="0" w:firstColumn="1" w:lastColumn="0" w:noHBand="0" w:noVBand="1"/>
      </w:tblPr>
      <w:tblGrid>
        <w:gridCol w:w="4796"/>
        <w:gridCol w:w="4795"/>
        <w:gridCol w:w="38"/>
      </w:tblGrid>
      <w:tr w:rsidR="00DB1F21" w14:paraId="54B7C5FA" w14:textId="77777777" w:rsidTr="00DB1F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Borders>
              <w:top w:val="none" w:sz="0" w:space="0" w:color="auto"/>
              <w:left w:val="none" w:sz="0" w:space="0" w:color="auto"/>
              <w:bottom w:val="none" w:sz="0" w:space="0" w:color="auto"/>
              <w:right w:val="none" w:sz="0" w:space="0" w:color="auto"/>
            </w:tcBorders>
          </w:tcPr>
          <w:p w14:paraId="6C66A24D" w14:textId="401E93EB" w:rsidR="00DB1F21" w:rsidRDefault="00DB1F21" w:rsidP="005F27B9">
            <w:pPr>
              <w:rPr>
                <w:lang w:val="en-GB" w:eastAsia="ja-JP"/>
              </w:rPr>
            </w:pPr>
            <w:r>
              <w:rPr>
                <w:lang w:val="en-GB" w:eastAsia="ja-JP"/>
              </w:rPr>
              <w:t>Parameter</w:t>
            </w:r>
          </w:p>
        </w:tc>
        <w:tc>
          <w:tcPr>
            <w:tcW w:w="4815" w:type="dxa"/>
            <w:gridSpan w:val="2"/>
            <w:tcBorders>
              <w:top w:val="none" w:sz="0" w:space="0" w:color="auto"/>
              <w:left w:val="none" w:sz="0" w:space="0" w:color="auto"/>
              <w:bottom w:val="none" w:sz="0" w:space="0" w:color="auto"/>
              <w:right w:val="none" w:sz="0" w:space="0" w:color="auto"/>
            </w:tcBorders>
          </w:tcPr>
          <w:p w14:paraId="386D508B" w14:textId="17F9BCBC" w:rsidR="00DB1F21" w:rsidRDefault="00DB1F21" w:rsidP="005F27B9">
            <w:pP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Value</w:t>
            </w:r>
          </w:p>
        </w:tc>
      </w:tr>
      <w:tr w:rsidR="00DB1F21" w14:paraId="43C117F6" w14:textId="77777777" w:rsidTr="00DB1F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932EDB9" w14:textId="136ED3C5" w:rsidR="00DB1F21" w:rsidRDefault="00DB1F21" w:rsidP="005F27B9">
            <w:pPr>
              <w:rPr>
                <w:lang w:val="en-GB" w:eastAsia="ja-JP"/>
              </w:rPr>
            </w:pPr>
            <w:r>
              <w:rPr>
                <w:lang w:val="en-GB" w:eastAsia="ja-JP"/>
              </w:rPr>
              <w:t>Frame rate</w:t>
            </w:r>
          </w:p>
        </w:tc>
        <w:tc>
          <w:tcPr>
            <w:tcW w:w="4815" w:type="dxa"/>
            <w:gridSpan w:val="2"/>
          </w:tcPr>
          <w:p w14:paraId="21D6AD3F" w14:textId="1A9E450A" w:rsidR="00DB1F21" w:rsidRDefault="00DB1F21" w:rsidP="005F27B9">
            <w:pPr>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60 Hz</w:t>
            </w:r>
          </w:p>
        </w:tc>
      </w:tr>
      <w:tr w:rsidR="00DB1F21" w14:paraId="315D0E66" w14:textId="77777777" w:rsidTr="00DB1F21">
        <w:trPr>
          <w:gridAfter w:val="1"/>
          <w:wAfter w:w="38" w:type="dxa"/>
        </w:trPr>
        <w:tc>
          <w:tcPr>
            <w:cnfStyle w:val="001000000000" w:firstRow="0" w:lastRow="0" w:firstColumn="1" w:lastColumn="0" w:oddVBand="0" w:evenVBand="0" w:oddHBand="0" w:evenHBand="0" w:firstRowFirstColumn="0" w:firstRowLastColumn="0" w:lastRowFirstColumn="0" w:lastRowLastColumn="0"/>
            <w:tcW w:w="4814" w:type="dxa"/>
          </w:tcPr>
          <w:p w14:paraId="61C11C8B" w14:textId="4F1E39FB" w:rsidR="00DB1F21" w:rsidRDefault="00DB1F21" w:rsidP="005F27B9">
            <w:pPr>
              <w:rPr>
                <w:lang w:val="en-GB" w:eastAsia="ja-JP"/>
              </w:rPr>
            </w:pPr>
            <w:r>
              <w:rPr>
                <w:lang w:val="en-GB" w:eastAsia="ja-JP"/>
              </w:rPr>
              <w:t>Frame size</w:t>
            </w:r>
          </w:p>
        </w:tc>
        <w:tc>
          <w:tcPr>
            <w:tcW w:w="4815" w:type="dxa"/>
          </w:tcPr>
          <w:p w14:paraId="4870FB14" w14:textId="44CB4FB9" w:rsidR="00DB1F21" w:rsidRDefault="00DB1F21" w:rsidP="005F27B9">
            <w:pP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25 kB</w:t>
            </w:r>
          </w:p>
        </w:tc>
      </w:tr>
    </w:tbl>
    <w:p w14:paraId="26FAEA91" w14:textId="57E437D1" w:rsidR="00DB1F21" w:rsidRDefault="00DB1F21" w:rsidP="00DB1F21">
      <w:pPr>
        <w:pStyle w:val="Caption"/>
      </w:pPr>
      <w:r>
        <w:t xml:space="preserve">Table </w:t>
      </w:r>
      <w:r>
        <w:fldChar w:fldCharType="begin"/>
      </w:r>
      <w:r>
        <w:instrText xml:space="preserve"> SEQ Table \* ARABIC </w:instrText>
      </w:r>
      <w:r>
        <w:fldChar w:fldCharType="separate"/>
      </w:r>
      <w:r w:rsidR="008962D8">
        <w:rPr>
          <w:noProof/>
        </w:rPr>
        <w:t>1</w:t>
      </w:r>
      <w:r>
        <w:fldChar w:fldCharType="end"/>
      </w:r>
      <w:r>
        <w:t>: Traffic model parameters. This corresponds to a bit rate of 12</w:t>
      </w:r>
      <w:r w:rsidR="00C37E77">
        <w:t xml:space="preserve"> </w:t>
      </w:r>
      <w:r>
        <w:t>Mbps, which would roughly correspond to HD quality with H.265.</w:t>
      </w:r>
    </w:p>
    <w:p w14:paraId="46BB2411" w14:textId="6E89D514" w:rsidR="00E275A4" w:rsidRDefault="00E275A4" w:rsidP="00E275A4">
      <w:pPr>
        <w:rPr>
          <w:lang w:eastAsia="en-GB"/>
        </w:rPr>
      </w:pPr>
      <w:r>
        <w:rPr>
          <w:lang w:eastAsia="en-GB"/>
        </w:rPr>
        <w:t>XR services require bounded latency. Cellular systems have since long taken advantage of two factors that increase the latency</w:t>
      </w:r>
      <w:r w:rsidR="00C37E77">
        <w:rPr>
          <w:lang w:eastAsia="en-GB"/>
        </w:rPr>
        <w:t>:</w:t>
      </w:r>
    </w:p>
    <w:p w14:paraId="3C7B5B9A" w14:textId="676AA228" w:rsidR="00E275A4" w:rsidRPr="00641C64" w:rsidRDefault="00E275A4" w:rsidP="00E275A4">
      <w:pPr>
        <w:pStyle w:val="ListParagraph"/>
        <w:numPr>
          <w:ilvl w:val="0"/>
          <w:numId w:val="23"/>
        </w:numPr>
        <w:rPr>
          <w:rFonts w:ascii="Arial" w:hAnsi="Arial" w:cs="Arial"/>
          <w:sz w:val="20"/>
          <w:szCs w:val="20"/>
          <w:lang w:eastAsia="en-GB"/>
        </w:rPr>
      </w:pPr>
      <w:r w:rsidRPr="00641C64">
        <w:rPr>
          <w:rFonts w:ascii="Arial" w:hAnsi="Arial" w:cs="Arial"/>
          <w:sz w:val="20"/>
          <w:szCs w:val="20"/>
          <w:lang w:val="en-US" w:eastAsia="en-GB"/>
        </w:rPr>
        <w:t xml:space="preserve">Retransmissions: the modulations and coding scheme for each transmission is selected so that the error rate for the initial transmission is ~10%. Retransmissions are then used if an error occurs. Sometimes 2 or more retransmissions are needed </w:t>
      </w:r>
      <w:r w:rsidR="00641C64" w:rsidRPr="00641C64">
        <w:rPr>
          <w:rFonts w:ascii="Arial" w:hAnsi="Arial" w:cs="Arial"/>
          <w:sz w:val="20"/>
          <w:szCs w:val="20"/>
          <w:lang w:val="en-US" w:eastAsia="en-GB"/>
        </w:rPr>
        <w:t>before the packet is correctly decoded. Each retransmission adds a few slots to the transmission time of the packet.</w:t>
      </w:r>
    </w:p>
    <w:p w14:paraId="00DBC5C8" w14:textId="62A58E12" w:rsidR="00641C64" w:rsidRPr="00641C64" w:rsidRDefault="00641C64" w:rsidP="00E275A4">
      <w:pPr>
        <w:pStyle w:val="ListParagraph"/>
        <w:numPr>
          <w:ilvl w:val="0"/>
          <w:numId w:val="23"/>
        </w:numPr>
        <w:rPr>
          <w:rFonts w:ascii="Arial" w:hAnsi="Arial" w:cs="Arial"/>
          <w:sz w:val="20"/>
          <w:szCs w:val="20"/>
          <w:lang w:eastAsia="en-GB"/>
        </w:rPr>
      </w:pPr>
      <w:r w:rsidRPr="00641C64">
        <w:rPr>
          <w:rFonts w:ascii="Arial" w:hAnsi="Arial" w:cs="Arial"/>
          <w:sz w:val="20"/>
          <w:szCs w:val="20"/>
          <w:lang w:val="en-US" w:eastAsia="en-GB"/>
        </w:rPr>
        <w:t>Scheduling: the scheduler may utilize the time-diversity in the channel. At a certain point, a user with a good channel may be prioritized over a user with worse quality, but this requires that the packet of the worse user can be delayed.</w:t>
      </w:r>
    </w:p>
    <w:p w14:paraId="044825FB" w14:textId="6C18D858" w:rsidR="00641C64" w:rsidRDefault="00641C64" w:rsidP="00641C64">
      <w:pPr>
        <w:rPr>
          <w:lang w:eastAsia="en-GB"/>
        </w:rPr>
      </w:pPr>
      <w:r>
        <w:rPr>
          <w:lang w:eastAsia="en-GB"/>
        </w:rPr>
        <w:t xml:space="preserve">For services with bounded latency requirements, the effectiveness of these two features may be reduced. We thus realize that there is a tradeoff between very strict latency bounds and capacity. To illustrate this, we will thus investigate performance </w:t>
      </w:r>
      <w:r w:rsidR="00087268">
        <w:rPr>
          <w:lang w:eastAsia="en-GB"/>
        </w:rPr>
        <w:t>with different latency bounds.</w:t>
      </w:r>
    </w:p>
    <w:p w14:paraId="10308E66" w14:textId="13F9D57E" w:rsidR="00087268" w:rsidRDefault="00087268" w:rsidP="00641C64">
      <w:pPr>
        <w:rPr>
          <w:lang w:eastAsia="en-GB"/>
        </w:rPr>
      </w:pPr>
      <w:r>
        <w:rPr>
          <w:lang w:eastAsia="en-GB"/>
        </w:rPr>
        <w:lastRenderedPageBreak/>
        <w:t xml:space="preserve">As described in </w:t>
      </w:r>
      <w:r w:rsidR="00513D31">
        <w:rPr>
          <w:lang w:eastAsia="en-GB"/>
        </w:rPr>
        <w:fldChar w:fldCharType="begin"/>
      </w:r>
      <w:r w:rsidR="00513D31">
        <w:rPr>
          <w:lang w:eastAsia="en-GB"/>
        </w:rPr>
        <w:instrText xml:space="preserve"> REF _Ref54354251 \r \h </w:instrText>
      </w:r>
      <w:r w:rsidR="00513D31">
        <w:rPr>
          <w:lang w:eastAsia="en-GB"/>
        </w:rPr>
      </w:r>
      <w:r w:rsidR="00513D31">
        <w:rPr>
          <w:lang w:eastAsia="en-GB"/>
        </w:rPr>
        <w:fldChar w:fldCharType="separate"/>
      </w:r>
      <w:r w:rsidR="008962D8">
        <w:rPr>
          <w:lang w:eastAsia="en-GB"/>
        </w:rPr>
        <w:t>[2]</w:t>
      </w:r>
      <w:r w:rsidR="00513D31">
        <w:rPr>
          <w:lang w:eastAsia="en-GB"/>
        </w:rPr>
        <w:fldChar w:fldCharType="end"/>
      </w:r>
      <w:r w:rsidR="00513D31">
        <w:rPr>
          <w:lang w:eastAsia="en-GB"/>
        </w:rPr>
        <w:t>, we use the following capacity definition:</w:t>
      </w:r>
    </w:p>
    <w:p w14:paraId="095D8ABC" w14:textId="0D287593" w:rsidR="00513D31" w:rsidRDefault="00513D31" w:rsidP="00641C64">
      <w:pPr>
        <w:pStyle w:val="BodyText"/>
        <w:numPr>
          <w:ilvl w:val="0"/>
          <w:numId w:val="24"/>
        </w:numPr>
        <w:spacing w:after="160"/>
        <w:rPr>
          <w:rFonts w:cstheme="minorHAnsi"/>
        </w:rPr>
      </w:pPr>
      <w:r>
        <w:rPr>
          <w:rFonts w:cstheme="minorHAnsi"/>
        </w:rPr>
        <w:t xml:space="preserve">The capacity </w:t>
      </w:r>
      <w:r w:rsidRPr="00FF26B1">
        <w:rPr>
          <w:rFonts w:cstheme="minorHAnsi"/>
        </w:rPr>
        <w:t>C(L, R</w:t>
      </w:r>
      <w:r>
        <w:rPr>
          <w:rFonts w:cstheme="minorHAnsi"/>
        </w:rPr>
        <w:t>, Y</w:t>
      </w:r>
      <w:r w:rsidRPr="00FF26B1">
        <w:rPr>
          <w:rFonts w:cstheme="minorHAnsi"/>
        </w:rPr>
        <w:t xml:space="preserve">) is </w:t>
      </w:r>
      <w:r w:rsidRPr="00312252">
        <w:rPr>
          <w:rFonts w:cstheme="minorHAnsi"/>
        </w:rPr>
        <w:t xml:space="preserve">the maximum </w:t>
      </w:r>
      <w:r>
        <w:rPr>
          <w:rFonts w:cstheme="minorHAnsi"/>
        </w:rPr>
        <w:t>number</w:t>
      </w:r>
      <w:r w:rsidRPr="00312252">
        <w:rPr>
          <w:rFonts w:cstheme="minorHAnsi"/>
        </w:rPr>
        <w:t xml:space="preserve"> of </w:t>
      </w:r>
      <w:r>
        <w:rPr>
          <w:rFonts w:cstheme="minorHAnsi"/>
        </w:rPr>
        <w:t>users</w:t>
      </w:r>
      <w:r w:rsidRPr="00312252">
        <w:rPr>
          <w:rFonts w:cstheme="minorHAnsi"/>
        </w:rPr>
        <w:t xml:space="preserve"> </w:t>
      </w:r>
      <w:r>
        <w:rPr>
          <w:rFonts w:cstheme="minorHAnsi"/>
        </w:rPr>
        <w:t xml:space="preserve">per cell </w:t>
      </w:r>
      <w:r w:rsidRPr="00312252">
        <w:rPr>
          <w:rFonts w:cstheme="minorHAnsi"/>
        </w:rPr>
        <w:t>under which Y% of UEs in a cell operate with target link reliability R under L latency bound</w:t>
      </w:r>
      <w:r>
        <w:rPr>
          <w:rFonts w:cstheme="minorHAnsi"/>
        </w:rPr>
        <w:t>.</w:t>
      </w:r>
    </w:p>
    <w:p w14:paraId="520009F1" w14:textId="4E1F9DF2" w:rsidR="00513D31" w:rsidRPr="00C20C4C" w:rsidRDefault="00513D31" w:rsidP="00C20C4C">
      <w:pPr>
        <w:pStyle w:val="BodyText"/>
        <w:spacing w:after="160"/>
        <w:rPr>
          <w:rFonts w:cstheme="minorHAnsi"/>
        </w:rPr>
      </w:pPr>
      <w:r>
        <w:rPr>
          <w:rFonts w:cstheme="minorHAnsi"/>
        </w:rPr>
        <w:t>In this contribution, we will use R=99%</w:t>
      </w:r>
      <w:r w:rsidR="00C20C4C">
        <w:rPr>
          <w:rFonts w:cstheme="minorHAnsi"/>
        </w:rPr>
        <w:t>, and illustrate Y as a function of load and L.</w:t>
      </w:r>
    </w:p>
    <w:p w14:paraId="416DA98E" w14:textId="66439076" w:rsidR="00D5283B" w:rsidRDefault="00D5283B" w:rsidP="00D5283B">
      <w:pPr>
        <w:pStyle w:val="Heading2"/>
      </w:pPr>
      <w:r>
        <w:t>2.1</w:t>
      </w:r>
      <w:r>
        <w:tab/>
      </w:r>
      <w:r w:rsidR="00DB1F21">
        <w:t>Performance of the baseline system</w:t>
      </w:r>
    </w:p>
    <w:p w14:paraId="76554CBB" w14:textId="33BE2DEE" w:rsidR="00D5283B" w:rsidRDefault="00DB1F21" w:rsidP="005F27B9">
      <w:pPr>
        <w:rPr>
          <w:lang w:val="en-GB" w:eastAsia="ja-JP"/>
        </w:rPr>
      </w:pPr>
      <w:r>
        <w:rPr>
          <w:lang w:val="en-GB" w:eastAsia="ja-JP"/>
        </w:rPr>
        <w:t xml:space="preserve">XR performance will be evaluated for a baseline system operating at </w:t>
      </w:r>
      <w:r w:rsidR="001844C2">
        <w:rPr>
          <w:lang w:val="en-GB" w:eastAsia="ja-JP"/>
        </w:rPr>
        <w:t>4</w:t>
      </w:r>
      <w:r w:rsidR="00C37E77">
        <w:rPr>
          <w:lang w:val="en-GB" w:eastAsia="ja-JP"/>
        </w:rPr>
        <w:t xml:space="preserve"> </w:t>
      </w:r>
      <w:r w:rsidR="001844C2">
        <w:rPr>
          <w:lang w:val="en-GB" w:eastAsia="ja-JP"/>
        </w:rPr>
        <w:t>GHz, using an SCS of 30</w:t>
      </w:r>
      <w:r w:rsidR="00C37E77">
        <w:rPr>
          <w:lang w:val="en-GB" w:eastAsia="ja-JP"/>
        </w:rPr>
        <w:t xml:space="preserve"> </w:t>
      </w:r>
      <w:r w:rsidR="001844C2">
        <w:rPr>
          <w:lang w:val="en-GB" w:eastAsia="ja-JP"/>
        </w:rPr>
        <w:t>kHz</w:t>
      </w:r>
      <w:r>
        <w:rPr>
          <w:lang w:val="en-GB" w:eastAsia="ja-JP"/>
        </w:rPr>
        <w:t>. The system deployed is 100</w:t>
      </w:r>
      <w:r w:rsidR="00C37E77">
        <w:rPr>
          <w:lang w:val="en-GB" w:eastAsia="ja-JP"/>
        </w:rPr>
        <w:t xml:space="preserve"> </w:t>
      </w:r>
      <w:r>
        <w:rPr>
          <w:lang w:val="en-GB" w:eastAsia="ja-JP"/>
        </w:rPr>
        <w:t>MHz TDD, with a 3:1 TDD pattern. A dense urban scenario with only the macro layer is considered. All UEs are outdoor. A massive MIMO gNB with 32 antenna elements is assumed. The UEs have 4</w:t>
      </w:r>
      <w:r w:rsidR="00C37E77">
        <w:rPr>
          <w:lang w:val="en-GB" w:eastAsia="ja-JP"/>
        </w:rPr>
        <w:t xml:space="preserve"> </w:t>
      </w:r>
      <w:r>
        <w:rPr>
          <w:lang w:val="en-GB" w:eastAsia="ja-JP"/>
        </w:rPr>
        <w:t>Rx antennas and PDSCH processing capability 2.</w:t>
      </w:r>
      <w:r w:rsidR="00CD33A0">
        <w:rPr>
          <w:lang w:val="en-GB" w:eastAsia="ja-JP"/>
        </w:rPr>
        <w:t xml:space="preserve"> </w:t>
      </w:r>
      <w:r w:rsidR="002A7DCF">
        <w:rPr>
          <w:lang w:val="en-GB" w:eastAsia="ja-JP"/>
        </w:rPr>
        <w:t xml:space="preserve">The results are depicted in </w:t>
      </w:r>
      <w:r w:rsidR="002A7DCF">
        <w:rPr>
          <w:lang w:val="en-GB" w:eastAsia="ja-JP"/>
        </w:rPr>
        <w:fldChar w:fldCharType="begin"/>
      </w:r>
      <w:r w:rsidR="002A7DCF">
        <w:rPr>
          <w:lang w:val="en-GB" w:eastAsia="ja-JP"/>
        </w:rPr>
        <w:instrText xml:space="preserve"> REF _Ref54354924 \h </w:instrText>
      </w:r>
      <w:r w:rsidR="002A7DCF">
        <w:rPr>
          <w:lang w:val="en-GB" w:eastAsia="ja-JP"/>
        </w:rPr>
      </w:r>
      <w:r w:rsidR="002A7DCF">
        <w:rPr>
          <w:lang w:val="en-GB" w:eastAsia="ja-JP"/>
        </w:rPr>
        <w:fldChar w:fldCharType="separate"/>
      </w:r>
      <w:r w:rsidR="008962D8" w:rsidRPr="00CE0424">
        <w:t xml:space="preserve">Figure </w:t>
      </w:r>
      <w:r w:rsidR="008962D8">
        <w:rPr>
          <w:noProof/>
        </w:rPr>
        <w:t>1</w:t>
      </w:r>
      <w:r w:rsidR="002A7DCF">
        <w:rPr>
          <w:lang w:val="en-GB" w:eastAsia="ja-JP"/>
        </w:rPr>
        <w:fldChar w:fldCharType="end"/>
      </w:r>
      <w:r w:rsidR="002A7DCF">
        <w:rPr>
          <w:lang w:val="en-GB" w:eastAsia="ja-JP"/>
        </w:rPr>
        <w:t>.</w:t>
      </w:r>
    </w:p>
    <w:p w14:paraId="450ADB4B" w14:textId="2E1F7DAD" w:rsidR="005F27B9" w:rsidRDefault="005F27B9" w:rsidP="005F27B9">
      <w:pPr>
        <w:pStyle w:val="TF"/>
      </w:pPr>
      <w:r w:rsidRPr="005F27B9">
        <w:rPr>
          <w:noProof/>
        </w:rPr>
        <w:drawing>
          <wp:inline distT="0" distB="0" distL="0" distR="0" wp14:anchorId="7461BB14" wp14:editId="7FCC41C9">
            <wp:extent cx="4802863" cy="36000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2863" cy="3600000"/>
                    </a:xfrm>
                    <a:prstGeom prst="rect">
                      <a:avLst/>
                    </a:prstGeom>
                    <a:noFill/>
                    <a:ln>
                      <a:noFill/>
                    </a:ln>
                  </pic:spPr>
                </pic:pic>
              </a:graphicData>
            </a:graphic>
          </wp:inline>
        </w:drawing>
      </w:r>
    </w:p>
    <w:p w14:paraId="700A8934" w14:textId="0D696A86" w:rsidR="005F27B9" w:rsidRDefault="005F27B9" w:rsidP="005F27B9">
      <w:pPr>
        <w:pStyle w:val="TF"/>
        <w:rPr>
          <w:lang w:val="en-US"/>
        </w:rPr>
      </w:pPr>
      <w:bookmarkStart w:id="1" w:name="_Ref54354924"/>
      <w:r w:rsidRPr="00CE0424">
        <w:t xml:space="preserve">Figure </w:t>
      </w:r>
      <w:r w:rsidRPr="00CE0424">
        <w:fldChar w:fldCharType="begin"/>
      </w:r>
      <w:r w:rsidRPr="00CE0424">
        <w:instrText xml:space="preserve"> SEQ Figure \* ARABIC </w:instrText>
      </w:r>
      <w:r w:rsidRPr="00CE0424">
        <w:fldChar w:fldCharType="separate"/>
      </w:r>
      <w:r w:rsidR="008962D8">
        <w:rPr>
          <w:noProof/>
        </w:rPr>
        <w:t>1</w:t>
      </w:r>
      <w:r w:rsidRPr="00CE0424">
        <w:fldChar w:fldCharType="end"/>
      </w:r>
      <w:bookmarkEnd w:id="1"/>
      <w:r w:rsidRPr="00CE0424">
        <w:t xml:space="preserve">: </w:t>
      </w:r>
      <w:r w:rsidRPr="005F27B9">
        <w:rPr>
          <w:lang w:val="en-US"/>
        </w:rPr>
        <w:t xml:space="preserve">Basic scenario. </w:t>
      </w:r>
      <w:r w:rsidRPr="00804048">
        <w:rPr>
          <w:lang w:val="en-US"/>
        </w:rPr>
        <w:t>BLER target: 10%, 4Rx antennas, PDSCH processing capability 2</w:t>
      </w:r>
      <w:r w:rsidR="00C37E77">
        <w:rPr>
          <w:lang w:val="en-US"/>
        </w:rPr>
        <w:t>.</w:t>
      </w:r>
    </w:p>
    <w:p w14:paraId="0EA0E449" w14:textId="3492603E" w:rsidR="002A7DCF" w:rsidRDefault="002A7DCF" w:rsidP="002A7DCF">
      <w:r>
        <w:t xml:space="preserve">From </w:t>
      </w:r>
      <w:r>
        <w:rPr>
          <w:lang w:val="en-GB" w:eastAsia="ja-JP"/>
        </w:rPr>
        <w:fldChar w:fldCharType="begin"/>
      </w:r>
      <w:r>
        <w:rPr>
          <w:lang w:val="en-GB" w:eastAsia="ja-JP"/>
        </w:rPr>
        <w:instrText xml:space="preserve"> REF _Ref54354924 \h </w:instrText>
      </w:r>
      <w:r>
        <w:rPr>
          <w:lang w:val="en-GB" w:eastAsia="ja-JP"/>
        </w:rPr>
      </w:r>
      <w:r>
        <w:rPr>
          <w:lang w:val="en-GB" w:eastAsia="ja-JP"/>
        </w:rPr>
        <w:fldChar w:fldCharType="separate"/>
      </w:r>
      <w:r w:rsidR="008962D8" w:rsidRPr="00CE0424">
        <w:t xml:space="preserve">Figure </w:t>
      </w:r>
      <w:r w:rsidR="008962D8">
        <w:rPr>
          <w:noProof/>
        </w:rPr>
        <w:t>1</w:t>
      </w:r>
      <w:r>
        <w:rPr>
          <w:lang w:val="en-GB" w:eastAsia="ja-JP"/>
        </w:rPr>
        <w:fldChar w:fldCharType="end"/>
      </w:r>
      <w:r>
        <w:rPr>
          <w:lang w:val="en-GB" w:eastAsia="ja-JP"/>
        </w:rPr>
        <w:t xml:space="preserve">, we see the clear impact of the latency threshold. </w:t>
      </w:r>
      <w:r w:rsidR="00CB4A75">
        <w:rPr>
          <w:lang w:val="en-GB" w:eastAsia="ja-JP"/>
        </w:rPr>
        <w:t>With a 15ms latency bound, the capacity is something like 25% higher than with a 10ms latency bound. Increasing the latency bound beyond 15ms does not lead to small improvements. This is not surprising, since new packets arrive every 16.67ms, and as a rule of thumb, one packet needs to be delivered before the next packet arrives.</w:t>
      </w:r>
    </w:p>
    <w:p w14:paraId="7EB45E60" w14:textId="26B24EAE" w:rsidR="00CD33A0" w:rsidRDefault="00CD33A0" w:rsidP="00CD33A0">
      <w:pPr>
        <w:pStyle w:val="Heading2"/>
      </w:pPr>
      <w:r>
        <w:t>2.2</w:t>
      </w:r>
      <w:r>
        <w:tab/>
        <w:t>Decreased HARQ BLER target</w:t>
      </w:r>
    </w:p>
    <w:p w14:paraId="238968E3" w14:textId="31E343D8" w:rsidR="00CB4A75" w:rsidRDefault="00CB4A75" w:rsidP="00CB4A75">
      <w:pPr>
        <w:rPr>
          <w:lang w:val="en-GB" w:eastAsia="ja-JP"/>
        </w:rPr>
      </w:pPr>
      <w:r>
        <w:rPr>
          <w:lang w:val="en-GB" w:eastAsia="ja-JP"/>
        </w:rPr>
        <w:t xml:space="preserve">One feature that is often identified as a tool to reduce latency is to decrease the HARQ BLER target, to reduce the number of HARQ retransmissions. A reduced number of retransmissions decrease latency. </w:t>
      </w:r>
    </w:p>
    <w:p w14:paraId="76AE7F92" w14:textId="57F22FF1" w:rsidR="00CB4A75" w:rsidRPr="00CB4A75" w:rsidRDefault="00CB4A75" w:rsidP="00CB4A75">
      <w:pPr>
        <w:rPr>
          <w:lang w:val="en-GB" w:eastAsia="ja-JP"/>
        </w:rPr>
      </w:pPr>
      <w:r>
        <w:rPr>
          <w:lang w:val="en-GB" w:eastAsia="ja-JP"/>
        </w:rPr>
        <w:t xml:space="preserve">To investigate how efficient this is, we changed the </w:t>
      </w:r>
      <w:r w:rsidR="002109A3">
        <w:rPr>
          <w:lang w:val="en-GB" w:eastAsia="ja-JP"/>
        </w:rPr>
        <w:t xml:space="preserve">target HARQ BLER to 1%. This means that the link adaptation becomes less aggressive, i.e., that more robust MCSs are selected. More robust MCSs imply that smaller transport blocks are selected. The results are depicted in </w:t>
      </w:r>
      <w:r w:rsidR="002109A3">
        <w:rPr>
          <w:lang w:val="en-GB" w:eastAsia="ja-JP"/>
        </w:rPr>
        <w:fldChar w:fldCharType="begin"/>
      </w:r>
      <w:r w:rsidR="002109A3">
        <w:rPr>
          <w:lang w:val="en-GB" w:eastAsia="ja-JP"/>
        </w:rPr>
        <w:instrText xml:space="preserve"> REF _Ref54356864 \h </w:instrText>
      </w:r>
      <w:r w:rsidR="002109A3">
        <w:rPr>
          <w:lang w:val="en-GB" w:eastAsia="ja-JP"/>
        </w:rPr>
      </w:r>
      <w:r w:rsidR="002109A3">
        <w:rPr>
          <w:lang w:val="en-GB" w:eastAsia="ja-JP"/>
        </w:rPr>
        <w:fldChar w:fldCharType="separate"/>
      </w:r>
      <w:r w:rsidR="008962D8" w:rsidRPr="00CE0424">
        <w:t xml:space="preserve">Figure </w:t>
      </w:r>
      <w:r w:rsidR="008962D8">
        <w:rPr>
          <w:noProof/>
        </w:rPr>
        <w:t>2</w:t>
      </w:r>
      <w:r w:rsidR="002109A3">
        <w:rPr>
          <w:lang w:val="en-GB" w:eastAsia="ja-JP"/>
        </w:rPr>
        <w:fldChar w:fldCharType="end"/>
      </w:r>
      <w:r w:rsidR="008962D8">
        <w:rPr>
          <w:lang w:val="en-GB" w:eastAsia="ja-JP"/>
        </w:rPr>
        <w:t>.</w:t>
      </w:r>
    </w:p>
    <w:p w14:paraId="3C17F8E6" w14:textId="77777777" w:rsidR="00CD33A0" w:rsidRPr="00804048" w:rsidRDefault="00CD33A0" w:rsidP="005F27B9">
      <w:pPr>
        <w:pStyle w:val="TF"/>
        <w:rPr>
          <w:lang w:val="en-US"/>
        </w:rPr>
      </w:pPr>
    </w:p>
    <w:p w14:paraId="5F3E75CB" w14:textId="5D8FDCE4" w:rsidR="005F27B9" w:rsidRPr="00CE0424" w:rsidRDefault="00804048" w:rsidP="005F27B9">
      <w:pPr>
        <w:pStyle w:val="TH"/>
      </w:pPr>
      <w:r w:rsidRPr="00804048">
        <w:rPr>
          <w:noProof/>
        </w:rPr>
        <w:lastRenderedPageBreak/>
        <w:drawing>
          <wp:inline distT="0" distB="0" distL="0" distR="0" wp14:anchorId="5533F353" wp14:editId="260F932B">
            <wp:extent cx="4802860" cy="36000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2860" cy="3600000"/>
                    </a:xfrm>
                    <a:prstGeom prst="rect">
                      <a:avLst/>
                    </a:prstGeom>
                    <a:noFill/>
                    <a:ln>
                      <a:noFill/>
                    </a:ln>
                  </pic:spPr>
                </pic:pic>
              </a:graphicData>
            </a:graphic>
          </wp:inline>
        </w:drawing>
      </w:r>
    </w:p>
    <w:p w14:paraId="7A39C7C8" w14:textId="2C816D7A" w:rsidR="005F27B9" w:rsidRDefault="005F27B9" w:rsidP="005F27B9">
      <w:pPr>
        <w:pStyle w:val="TF"/>
        <w:rPr>
          <w:lang w:val="en-US"/>
        </w:rPr>
      </w:pPr>
      <w:bookmarkStart w:id="2" w:name="_Ref54356864"/>
      <w:r w:rsidRPr="00CE0424">
        <w:t xml:space="preserve">Figure </w:t>
      </w:r>
      <w:r w:rsidRPr="00CE0424">
        <w:fldChar w:fldCharType="begin"/>
      </w:r>
      <w:r w:rsidRPr="00CE0424">
        <w:instrText xml:space="preserve"> SEQ Figure \* ARABIC </w:instrText>
      </w:r>
      <w:r w:rsidRPr="00CE0424">
        <w:fldChar w:fldCharType="separate"/>
      </w:r>
      <w:r w:rsidR="008962D8">
        <w:rPr>
          <w:noProof/>
        </w:rPr>
        <w:t>2</w:t>
      </w:r>
      <w:r w:rsidRPr="00CE0424">
        <w:fldChar w:fldCharType="end"/>
      </w:r>
      <w:bookmarkEnd w:id="2"/>
      <w:r w:rsidRPr="00CE0424">
        <w:t xml:space="preserve">: </w:t>
      </w:r>
      <w:r w:rsidR="001844C2">
        <w:rPr>
          <w:lang w:val="en-US"/>
        </w:rPr>
        <w:t>Basic scenario, but with HARQ BLER target equal to 1%</w:t>
      </w:r>
      <w:r w:rsidR="00804048">
        <w:rPr>
          <w:lang w:val="en-US"/>
        </w:rPr>
        <w:t>.</w:t>
      </w:r>
    </w:p>
    <w:p w14:paraId="521812FD" w14:textId="59C24BD5" w:rsidR="00CD33A0" w:rsidRDefault="008962D8" w:rsidP="008962D8">
      <w:r>
        <w:t xml:space="preserve">From </w:t>
      </w:r>
      <w:r>
        <w:rPr>
          <w:lang w:val="en-GB" w:eastAsia="ja-JP"/>
        </w:rPr>
        <w:fldChar w:fldCharType="begin"/>
      </w:r>
      <w:r>
        <w:rPr>
          <w:lang w:val="en-GB" w:eastAsia="ja-JP"/>
        </w:rPr>
        <w:instrText xml:space="preserve"> REF _Ref54356864 \h </w:instrText>
      </w:r>
      <w:r>
        <w:rPr>
          <w:lang w:val="en-GB" w:eastAsia="ja-JP"/>
        </w:rPr>
      </w:r>
      <w:r>
        <w:rPr>
          <w:lang w:val="en-GB" w:eastAsia="ja-JP"/>
        </w:rPr>
        <w:fldChar w:fldCharType="separate"/>
      </w:r>
      <w:r w:rsidRPr="00CE0424">
        <w:t xml:space="preserve">Figure </w:t>
      </w:r>
      <w:r>
        <w:rPr>
          <w:noProof/>
        </w:rPr>
        <w:t>2</w:t>
      </w:r>
      <w:r>
        <w:rPr>
          <w:lang w:val="en-GB" w:eastAsia="ja-JP"/>
        </w:rPr>
        <w:fldChar w:fldCharType="end"/>
      </w:r>
      <w:r>
        <w:rPr>
          <w:lang w:val="en-GB" w:eastAsia="ja-JP"/>
        </w:rPr>
        <w:t>, we see that the capacity is reduced when the BLER target is decreased. Simply reducing the BLER target without additional improvements will not lead to higher capacity.</w:t>
      </w:r>
    </w:p>
    <w:p w14:paraId="2830A7C1" w14:textId="70493CDA" w:rsidR="00CD33A0" w:rsidRDefault="00CD33A0" w:rsidP="00CD33A0">
      <w:pPr>
        <w:pStyle w:val="Heading2"/>
      </w:pPr>
      <w:r>
        <w:t>2.4</w:t>
      </w:r>
      <w:r>
        <w:tab/>
        <w:t>Two UE Rx antennas</w:t>
      </w:r>
    </w:p>
    <w:p w14:paraId="2DD38F63" w14:textId="4152C011" w:rsidR="00CD33A0" w:rsidRPr="00804048" w:rsidRDefault="008962D8" w:rsidP="008962D8">
      <w:r>
        <w:t xml:space="preserve">We now illustrate the impact of standard performance enhancing features, and here we have chosen the number of UE Rx antennas. It is well-known that more UE antennas increase the performance: it provides better performance for a constant number of layers, and it makes it possible to use more layer. </w:t>
      </w:r>
      <w:r w:rsidR="004F3A54">
        <w:t xml:space="preserve">Apart from this, the other parameters are the same as for the baseline scenario. The results are depicted in </w:t>
      </w:r>
      <w:r w:rsidR="004F3A54">
        <w:fldChar w:fldCharType="begin"/>
      </w:r>
      <w:r w:rsidR="004F3A54">
        <w:instrText xml:space="preserve"> REF _Ref54358886 \h </w:instrText>
      </w:r>
      <w:r w:rsidR="004F3A54">
        <w:fldChar w:fldCharType="separate"/>
      </w:r>
      <w:r w:rsidR="004F3A54" w:rsidRPr="00CE0424">
        <w:t xml:space="preserve">Figure </w:t>
      </w:r>
      <w:r w:rsidR="004F3A54">
        <w:rPr>
          <w:noProof/>
        </w:rPr>
        <w:t>3</w:t>
      </w:r>
      <w:r w:rsidR="004F3A54">
        <w:fldChar w:fldCharType="end"/>
      </w:r>
      <w:r w:rsidR="004F3A54">
        <w:t>.</w:t>
      </w:r>
    </w:p>
    <w:p w14:paraId="46E00F84" w14:textId="708F0E67" w:rsidR="005F27B9" w:rsidRPr="00CE0424" w:rsidRDefault="005F27B9" w:rsidP="005F27B9">
      <w:pPr>
        <w:pStyle w:val="TH"/>
      </w:pPr>
      <w:r w:rsidRPr="00CE0424">
        <w:lastRenderedPageBreak/>
        <w:t xml:space="preserve"> </w:t>
      </w:r>
      <w:r w:rsidR="00540155" w:rsidRPr="00540155">
        <w:rPr>
          <w:noProof/>
        </w:rPr>
        <w:drawing>
          <wp:inline distT="0" distB="0" distL="0" distR="0" wp14:anchorId="4AB315E5" wp14:editId="140015FF">
            <wp:extent cx="4802860" cy="360000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2860" cy="3600000"/>
                    </a:xfrm>
                    <a:prstGeom prst="rect">
                      <a:avLst/>
                    </a:prstGeom>
                    <a:noFill/>
                    <a:ln>
                      <a:noFill/>
                    </a:ln>
                  </pic:spPr>
                </pic:pic>
              </a:graphicData>
            </a:graphic>
          </wp:inline>
        </w:drawing>
      </w:r>
    </w:p>
    <w:p w14:paraId="1CC012FF" w14:textId="3DA1F575" w:rsidR="005F27B9" w:rsidRDefault="005F27B9" w:rsidP="005F27B9">
      <w:pPr>
        <w:pStyle w:val="TF"/>
        <w:rPr>
          <w:lang w:val="en-US"/>
        </w:rPr>
      </w:pPr>
      <w:bookmarkStart w:id="3" w:name="_Ref54358886"/>
      <w:r w:rsidRPr="00CE0424">
        <w:t xml:space="preserve">Figure </w:t>
      </w:r>
      <w:r w:rsidRPr="00CE0424">
        <w:fldChar w:fldCharType="begin"/>
      </w:r>
      <w:r w:rsidRPr="00CE0424">
        <w:instrText xml:space="preserve"> SEQ Figure \* ARABIC </w:instrText>
      </w:r>
      <w:r w:rsidRPr="00CE0424">
        <w:fldChar w:fldCharType="separate"/>
      </w:r>
      <w:r w:rsidR="008962D8">
        <w:rPr>
          <w:noProof/>
        </w:rPr>
        <w:t>3</w:t>
      </w:r>
      <w:r w:rsidRPr="00CE0424">
        <w:fldChar w:fldCharType="end"/>
      </w:r>
      <w:bookmarkEnd w:id="3"/>
      <w:r w:rsidRPr="00CE0424">
        <w:t xml:space="preserve">: </w:t>
      </w:r>
      <w:r w:rsidR="001844C2" w:rsidRPr="001844C2">
        <w:t xml:space="preserve">Basic scenario, but with </w:t>
      </w:r>
      <w:r w:rsidR="001844C2" w:rsidRPr="001844C2">
        <w:rPr>
          <w:lang w:val="en-US"/>
        </w:rPr>
        <w:t>t</w:t>
      </w:r>
      <w:r w:rsidR="00804048" w:rsidRPr="00540155">
        <w:rPr>
          <w:lang w:val="en-US"/>
        </w:rPr>
        <w:t>wo UE RX antennas</w:t>
      </w:r>
      <w:r w:rsidR="001844C2">
        <w:rPr>
          <w:lang w:val="en-US"/>
        </w:rPr>
        <w:t>.</w:t>
      </w:r>
    </w:p>
    <w:p w14:paraId="095269F1" w14:textId="2352AA6B" w:rsidR="004F3A54" w:rsidRDefault="004F3A54" w:rsidP="004F3A54">
      <w:r>
        <w:t xml:space="preserve">The results are depicted in </w:t>
      </w:r>
      <w:r>
        <w:fldChar w:fldCharType="begin"/>
      </w:r>
      <w:r>
        <w:instrText xml:space="preserve"> REF _Ref54358886 \h </w:instrText>
      </w:r>
      <w:r>
        <w:fldChar w:fldCharType="separate"/>
      </w:r>
      <w:r w:rsidRPr="00CE0424">
        <w:t xml:space="preserve">Figure </w:t>
      </w:r>
      <w:r>
        <w:rPr>
          <w:noProof/>
        </w:rPr>
        <w:t>3</w:t>
      </w:r>
      <w:r>
        <w:fldChar w:fldCharType="end"/>
      </w:r>
      <w:r>
        <w:t xml:space="preserve">. It is clear that the capacity is </w:t>
      </w:r>
      <w:r w:rsidR="007D5467">
        <w:t>reduced from the reduction of the number of UE Rx antennas.</w:t>
      </w:r>
    </w:p>
    <w:p w14:paraId="58ACA235" w14:textId="4144C5F9" w:rsidR="00C01F33" w:rsidRPr="00CE0424" w:rsidRDefault="007D5467" w:rsidP="006E062C">
      <w:r>
        <w:t xml:space="preserve">This is thus an example of an eMBB feature that is also applicable to XR. Reducing the number of UE RX antennas (e.g., to reduce UE </w:t>
      </w:r>
      <w:bookmarkStart w:id="4" w:name="_GoBack"/>
      <w:bookmarkEnd w:id="4"/>
      <w:r>
        <w:t>complexity and/or power consumption) will reduce capacity.</w:t>
      </w:r>
    </w:p>
    <w:p w14:paraId="71D79D99" w14:textId="77777777" w:rsidR="00F507D1" w:rsidRPr="00CE0424" w:rsidRDefault="00F507D1" w:rsidP="00CE0424">
      <w:pPr>
        <w:pStyle w:val="Heading1"/>
      </w:pPr>
      <w:bookmarkStart w:id="5" w:name="_In-sequence_SDU_delivery"/>
      <w:bookmarkEnd w:id="5"/>
      <w:r w:rsidRPr="00CE0424">
        <w:t>References</w:t>
      </w:r>
    </w:p>
    <w:p w14:paraId="0B572F67" w14:textId="573B55E5" w:rsidR="005F27B9" w:rsidRDefault="005F27B9" w:rsidP="00311702">
      <w:pPr>
        <w:pStyle w:val="Reference"/>
      </w:pPr>
      <w:bookmarkStart w:id="6" w:name="_Ref54269807"/>
      <w:bookmarkStart w:id="7" w:name="_Ref174151459"/>
      <w:bookmarkStart w:id="8" w:name="_Ref189809556"/>
      <w:r w:rsidRPr="005F27B9">
        <w:t>RP-193241</w:t>
      </w:r>
      <w:r>
        <w:t xml:space="preserve">, </w:t>
      </w:r>
      <w:r w:rsidRPr="005F27B9">
        <w:t>Study on XR Evaluations for NR</w:t>
      </w:r>
      <w:r>
        <w:t>, Qualcomm, RAN#86, Sitges, December 2019</w:t>
      </w:r>
      <w:bookmarkEnd w:id="6"/>
      <w:r w:rsidR="00C37E77">
        <w:t>.</w:t>
      </w:r>
    </w:p>
    <w:p w14:paraId="1A5B0900" w14:textId="1D12DF99" w:rsidR="004E68BA" w:rsidRDefault="004E68BA" w:rsidP="00311702">
      <w:pPr>
        <w:pStyle w:val="Reference"/>
      </w:pPr>
      <w:bookmarkStart w:id="9" w:name="_Ref54354251"/>
      <w:r>
        <w:t>R1-200</w:t>
      </w:r>
      <w:r w:rsidR="00513D31">
        <w:t>9087</w:t>
      </w:r>
      <w:r>
        <w:t>,</w:t>
      </w:r>
      <w:r w:rsidR="00513D31" w:rsidRPr="00513D31">
        <w:t xml:space="preserve"> XR use cases, traffic modelling and performance measure</w:t>
      </w:r>
      <w:r>
        <w:t xml:space="preserve">, Ericsson, RAN1#103-e, </w:t>
      </w:r>
      <w:r w:rsidR="00513D31">
        <w:t>October 2020</w:t>
      </w:r>
      <w:bookmarkEnd w:id="9"/>
      <w:r>
        <w:t xml:space="preserve"> </w:t>
      </w:r>
    </w:p>
    <w:bookmarkEnd w:id="7"/>
    <w:bookmarkEnd w:id="8"/>
    <w:p w14:paraId="49009E5E" w14:textId="1F2AE4BD" w:rsidR="00DB1F21" w:rsidRDefault="00DB1F21" w:rsidP="00DB1F21">
      <w:pPr>
        <w:pStyle w:val="Heading1"/>
      </w:pPr>
      <w:r>
        <w:t>Appendix</w:t>
      </w:r>
    </w:p>
    <w:tbl>
      <w:tblPr>
        <w:tblStyle w:val="TableGrid1"/>
        <w:tblW w:w="9805" w:type="dxa"/>
        <w:tblLook w:val="04A0" w:firstRow="1" w:lastRow="0" w:firstColumn="1" w:lastColumn="0" w:noHBand="0" w:noVBand="1"/>
      </w:tblPr>
      <w:tblGrid>
        <w:gridCol w:w="2605"/>
        <w:gridCol w:w="7200"/>
      </w:tblGrid>
      <w:tr w:rsidR="00D259A5" w:rsidRPr="005D045E" w14:paraId="751B4AD6" w14:textId="77777777" w:rsidTr="00F47544">
        <w:tc>
          <w:tcPr>
            <w:tcW w:w="2605" w:type="dxa"/>
            <w:shd w:val="clear" w:color="auto" w:fill="D5DCE4" w:themeFill="text2" w:themeFillTint="33"/>
          </w:tcPr>
          <w:p w14:paraId="00FB6512" w14:textId="77777777" w:rsidR="00D259A5" w:rsidRPr="005D045E" w:rsidRDefault="00D259A5" w:rsidP="00F47544">
            <w:pPr>
              <w:snapToGrid w:val="0"/>
              <w:spacing w:after="0" w:line="240" w:lineRule="auto"/>
              <w:rPr>
                <w:rFonts w:ascii="Times New Roman" w:eastAsia="Malgun Gothic" w:hAnsi="Times New Roman" w:cs="Times New Roman"/>
                <w:b/>
                <w:sz w:val="18"/>
                <w:szCs w:val="20"/>
                <w:lang w:eastAsia="ko-KR"/>
              </w:rPr>
            </w:pPr>
            <w:r w:rsidRPr="005D045E">
              <w:rPr>
                <w:rFonts w:ascii="Times New Roman" w:eastAsia="Malgun Gothic" w:hAnsi="Times New Roman" w:cs="Times New Roman"/>
                <w:b/>
                <w:sz w:val="18"/>
                <w:szCs w:val="20"/>
                <w:lang w:eastAsia="ko-KR"/>
              </w:rPr>
              <w:t>Parameters</w:t>
            </w:r>
          </w:p>
        </w:tc>
        <w:tc>
          <w:tcPr>
            <w:tcW w:w="7200" w:type="dxa"/>
            <w:shd w:val="clear" w:color="auto" w:fill="D5DCE4" w:themeFill="text2" w:themeFillTint="33"/>
          </w:tcPr>
          <w:p w14:paraId="476126D3" w14:textId="77777777" w:rsidR="00D259A5" w:rsidRPr="005D045E" w:rsidRDefault="00D259A5" w:rsidP="00F47544">
            <w:pPr>
              <w:snapToGrid w:val="0"/>
              <w:spacing w:after="0" w:line="240" w:lineRule="auto"/>
              <w:rPr>
                <w:rFonts w:ascii="Times New Roman" w:eastAsia="Malgun Gothic" w:hAnsi="Times New Roman" w:cs="Times New Roman"/>
                <w:b/>
                <w:sz w:val="18"/>
                <w:szCs w:val="20"/>
                <w:lang w:eastAsia="ko-KR"/>
              </w:rPr>
            </w:pPr>
            <w:r w:rsidRPr="005D045E">
              <w:rPr>
                <w:rFonts w:ascii="Times New Roman" w:eastAsia="Malgun Gothic" w:hAnsi="Times New Roman" w:cs="Times New Roman"/>
                <w:b/>
                <w:sz w:val="18"/>
                <w:szCs w:val="20"/>
                <w:lang w:eastAsia="ko-KR"/>
              </w:rPr>
              <w:t>Values</w:t>
            </w:r>
          </w:p>
        </w:tc>
      </w:tr>
      <w:tr w:rsidR="00D259A5" w:rsidRPr="005D045E" w14:paraId="180460F7" w14:textId="77777777" w:rsidTr="00F47544">
        <w:trPr>
          <w:trHeight w:val="377"/>
        </w:trPr>
        <w:tc>
          <w:tcPr>
            <w:tcW w:w="2605" w:type="dxa"/>
          </w:tcPr>
          <w:p w14:paraId="3312E569"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Frequency Range</w:t>
            </w:r>
          </w:p>
        </w:tc>
        <w:tc>
          <w:tcPr>
            <w:tcW w:w="7200" w:type="dxa"/>
          </w:tcPr>
          <w:p w14:paraId="76F7B5BF" w14:textId="09E89A41" w:rsidR="00D259A5" w:rsidRPr="005D045E" w:rsidRDefault="00D259A5" w:rsidP="00F47544">
            <w:pPr>
              <w:snapToGrid w:val="0"/>
              <w:spacing w:after="0" w:line="240" w:lineRule="auto"/>
              <w:rPr>
                <w:rFonts w:ascii="Times New Roman" w:eastAsia="SimSun" w:hAnsi="Times New Roman" w:cs="Times New Roman"/>
                <w:sz w:val="18"/>
                <w:szCs w:val="20"/>
              </w:rPr>
            </w:pPr>
            <w:r w:rsidRPr="005D045E">
              <w:rPr>
                <w:rFonts w:ascii="Times New Roman" w:eastAsia="Malgun Gothic" w:hAnsi="Times New Roman" w:cs="Times New Roman"/>
                <w:sz w:val="18"/>
                <w:szCs w:val="20"/>
                <w:lang w:eastAsia="ko-KR"/>
              </w:rPr>
              <w:t>FR</w:t>
            </w:r>
            <w:r>
              <w:rPr>
                <w:rFonts w:ascii="Times New Roman" w:eastAsia="Malgun Gothic" w:hAnsi="Times New Roman" w:cs="Times New Roman"/>
                <w:sz w:val="18"/>
                <w:szCs w:val="20"/>
                <w:lang w:eastAsia="ko-KR"/>
              </w:rPr>
              <w:t>1</w:t>
            </w:r>
            <w:r w:rsidRPr="005D045E">
              <w:rPr>
                <w:rFonts w:ascii="Times New Roman" w:eastAsia="Malgun Gothic" w:hAnsi="Times New Roman" w:cs="Times New Roman"/>
                <w:sz w:val="18"/>
                <w:szCs w:val="20"/>
                <w:lang w:eastAsia="ko-KR"/>
              </w:rPr>
              <w:t xml:space="preserve"> @ </w:t>
            </w:r>
            <w:r>
              <w:rPr>
                <w:rFonts w:ascii="Times New Roman" w:eastAsia="Malgun Gothic" w:hAnsi="Times New Roman" w:cs="Times New Roman"/>
                <w:sz w:val="18"/>
                <w:szCs w:val="20"/>
                <w:lang w:eastAsia="ko-KR"/>
              </w:rPr>
              <w:t>4</w:t>
            </w:r>
            <w:r w:rsidRPr="005D045E">
              <w:rPr>
                <w:rFonts w:ascii="Times New Roman" w:eastAsia="Malgun Gothic" w:hAnsi="Times New Roman" w:cs="Times New Roman"/>
                <w:sz w:val="18"/>
                <w:szCs w:val="20"/>
                <w:lang w:eastAsia="ko-KR"/>
              </w:rPr>
              <w:t xml:space="preserve"> GHz,</w:t>
            </w:r>
            <w:r w:rsidRPr="00E8275D">
              <w:rPr>
                <w:rFonts w:ascii="Times New Roman" w:eastAsia="Malgun Gothic" w:hAnsi="Times New Roman" w:cs="Times New Roman"/>
                <w:sz w:val="18"/>
                <w:szCs w:val="20"/>
                <w:lang w:eastAsia="ko-KR"/>
              </w:rPr>
              <w:t xml:space="preserve"> </w:t>
            </w:r>
            <w:r w:rsidRPr="005D045E">
              <w:rPr>
                <w:rFonts w:ascii="Times New Roman" w:eastAsia="SimSun" w:hAnsi="Times New Roman" w:cs="Times New Roman"/>
                <w:sz w:val="18"/>
                <w:szCs w:val="20"/>
              </w:rPr>
              <w:t xml:space="preserve">SCS: </w:t>
            </w:r>
            <w:r>
              <w:rPr>
                <w:rFonts w:ascii="Times New Roman" w:eastAsia="SimSun" w:hAnsi="Times New Roman" w:cs="Times New Roman"/>
                <w:sz w:val="18"/>
                <w:szCs w:val="20"/>
              </w:rPr>
              <w:t>3</w:t>
            </w:r>
            <w:r w:rsidRPr="005D045E">
              <w:rPr>
                <w:rFonts w:ascii="Times New Roman" w:eastAsia="SimSun" w:hAnsi="Times New Roman" w:cs="Times New Roman"/>
                <w:sz w:val="18"/>
                <w:szCs w:val="20"/>
              </w:rPr>
              <w:t>0 kHz</w:t>
            </w:r>
            <w:r w:rsidRPr="00E8275D">
              <w:rPr>
                <w:rFonts w:ascii="Times New Roman" w:eastAsia="SimSun" w:hAnsi="Times New Roman" w:cs="Times New Roman"/>
                <w:sz w:val="18"/>
                <w:szCs w:val="20"/>
              </w:rPr>
              <w:t xml:space="preserve">, </w:t>
            </w:r>
            <w:r w:rsidRPr="005D045E">
              <w:rPr>
                <w:rFonts w:ascii="Times New Roman" w:eastAsia="SimSun" w:hAnsi="Times New Roman" w:cs="Times New Roman"/>
                <w:sz w:val="18"/>
                <w:szCs w:val="20"/>
              </w:rPr>
              <w:t xml:space="preserve">BW: </w:t>
            </w:r>
            <w:r>
              <w:rPr>
                <w:rFonts w:ascii="Times New Roman" w:eastAsia="SimSun" w:hAnsi="Times New Roman" w:cs="Times New Roman"/>
                <w:sz w:val="18"/>
                <w:szCs w:val="20"/>
              </w:rPr>
              <w:t>10</w:t>
            </w:r>
            <w:r w:rsidRPr="005D045E">
              <w:rPr>
                <w:rFonts w:ascii="Times New Roman" w:eastAsia="SimSun" w:hAnsi="Times New Roman" w:cs="Times New Roman"/>
                <w:sz w:val="18"/>
                <w:szCs w:val="20"/>
              </w:rPr>
              <w:t>0 MHz</w:t>
            </w:r>
          </w:p>
        </w:tc>
      </w:tr>
      <w:tr w:rsidR="00D259A5" w:rsidRPr="005D045E" w14:paraId="033447EA" w14:textId="77777777" w:rsidTr="00F47544">
        <w:tc>
          <w:tcPr>
            <w:tcW w:w="2605" w:type="dxa"/>
          </w:tcPr>
          <w:p w14:paraId="7B08B1E1"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BS Antenna Configuration</w:t>
            </w:r>
          </w:p>
        </w:tc>
        <w:tc>
          <w:tcPr>
            <w:tcW w:w="7200" w:type="dxa"/>
          </w:tcPr>
          <w:p w14:paraId="179CEFE3" w14:textId="5DF2A93B" w:rsidR="00D259A5" w:rsidRPr="009677E5" w:rsidRDefault="00D259A5" w:rsidP="00F47544">
            <w:pPr>
              <w:snapToGrid w:val="0"/>
              <w:spacing w:after="0" w:line="240" w:lineRule="auto"/>
              <w:rPr>
                <w:rFonts w:ascii="Times New Roman" w:eastAsia="Malgun Gothic" w:hAnsi="Times New Roman" w:cs="Times New Roman"/>
                <w:sz w:val="18"/>
                <w:szCs w:val="20"/>
                <w:lang w:val="sv-SE" w:eastAsia="ko-KR"/>
              </w:rPr>
            </w:pPr>
            <w:r w:rsidRPr="00D259A5">
              <w:rPr>
                <w:rFonts w:ascii="Times New Roman" w:eastAsia="Malgun Gothic" w:hAnsi="Times New Roman" w:cs="Times New Roman"/>
                <w:sz w:val="18"/>
                <w:szCs w:val="20"/>
                <w:lang w:val="sv-SE" w:eastAsia="ko-KR"/>
              </w:rPr>
              <w:t>(M, N, P, M</w:t>
            </w:r>
            <w:r w:rsidRPr="00D259A5">
              <w:rPr>
                <w:rFonts w:ascii="Times New Roman" w:eastAsia="Malgun Gothic" w:hAnsi="Times New Roman" w:cs="Times New Roman"/>
                <w:sz w:val="18"/>
                <w:szCs w:val="20"/>
                <w:vertAlign w:val="subscript"/>
                <w:lang w:val="sv-SE" w:eastAsia="ko-KR"/>
              </w:rPr>
              <w:t>g</w:t>
            </w:r>
            <w:r w:rsidRPr="00D259A5">
              <w:rPr>
                <w:rFonts w:ascii="Times New Roman" w:eastAsia="Malgun Gothic" w:hAnsi="Times New Roman" w:cs="Times New Roman"/>
                <w:sz w:val="18"/>
                <w:szCs w:val="20"/>
                <w:lang w:val="sv-SE" w:eastAsia="ko-KR"/>
              </w:rPr>
              <w:t>, N</w:t>
            </w:r>
            <w:r w:rsidRPr="00D259A5">
              <w:rPr>
                <w:rFonts w:ascii="Times New Roman" w:eastAsia="Malgun Gothic" w:hAnsi="Times New Roman" w:cs="Times New Roman"/>
                <w:sz w:val="18"/>
                <w:szCs w:val="20"/>
                <w:vertAlign w:val="subscript"/>
                <w:lang w:val="sv-SE" w:eastAsia="ko-KR"/>
              </w:rPr>
              <w:t>g</w:t>
            </w:r>
            <w:r w:rsidRPr="00D259A5">
              <w:rPr>
                <w:rFonts w:ascii="Times New Roman" w:eastAsia="Malgun Gothic" w:hAnsi="Times New Roman" w:cs="Times New Roman"/>
                <w:sz w:val="18"/>
                <w:szCs w:val="20"/>
                <w:lang w:val="sv-SE" w:eastAsia="ko-KR"/>
              </w:rPr>
              <w:t xml:space="preserve">) = (2, 8, 2, 1, 1). </w:t>
            </w:r>
            <w:r w:rsidRPr="009677E5">
              <w:rPr>
                <w:rFonts w:ascii="Times New Roman" w:eastAsia="Malgun Gothic" w:hAnsi="Times New Roman" w:cs="Times New Roman"/>
                <w:sz w:val="18"/>
                <w:szCs w:val="20"/>
                <w:lang w:val="sv-SE" w:eastAsia="ko-KR"/>
              </w:rPr>
              <w:t>(d</w:t>
            </w:r>
            <w:r w:rsidRPr="009677E5">
              <w:rPr>
                <w:rFonts w:ascii="Times New Roman" w:eastAsia="Malgun Gothic" w:hAnsi="Times New Roman" w:cs="Times New Roman"/>
                <w:sz w:val="18"/>
                <w:szCs w:val="20"/>
                <w:vertAlign w:val="subscript"/>
                <w:lang w:val="sv-SE" w:eastAsia="ko-KR"/>
              </w:rPr>
              <w:t>V</w:t>
            </w:r>
            <w:r w:rsidRPr="009677E5">
              <w:rPr>
                <w:rFonts w:ascii="Times New Roman" w:eastAsia="Malgun Gothic" w:hAnsi="Times New Roman" w:cs="Times New Roman"/>
                <w:sz w:val="18"/>
                <w:szCs w:val="20"/>
                <w:lang w:val="sv-SE" w:eastAsia="ko-KR"/>
              </w:rPr>
              <w:t>, d</w:t>
            </w:r>
            <w:r w:rsidRPr="009677E5">
              <w:rPr>
                <w:rFonts w:ascii="Times New Roman" w:eastAsia="Malgun Gothic" w:hAnsi="Times New Roman" w:cs="Times New Roman"/>
                <w:sz w:val="18"/>
                <w:szCs w:val="20"/>
                <w:vertAlign w:val="subscript"/>
                <w:lang w:val="sv-SE" w:eastAsia="ko-KR"/>
              </w:rPr>
              <w:t>H</w:t>
            </w:r>
            <w:r w:rsidRPr="009677E5">
              <w:rPr>
                <w:rFonts w:ascii="Times New Roman" w:eastAsia="Malgun Gothic" w:hAnsi="Times New Roman" w:cs="Times New Roman"/>
                <w:sz w:val="18"/>
                <w:szCs w:val="20"/>
                <w:lang w:val="sv-SE" w:eastAsia="ko-KR"/>
              </w:rPr>
              <w:t xml:space="preserve">) = (0.8, 0.5) </w:t>
            </w:r>
            <w:r w:rsidRPr="005D045E">
              <w:rPr>
                <w:rFonts w:ascii="Times New Roman" w:eastAsia="Malgun Gothic" w:hAnsi="Times New Roman" w:cs="Times New Roman"/>
                <w:sz w:val="18"/>
                <w:szCs w:val="20"/>
                <w:lang w:val="en-GB" w:eastAsia="ko-KR"/>
              </w:rPr>
              <w:t>λ</w:t>
            </w:r>
            <w:r w:rsidRPr="009677E5">
              <w:rPr>
                <w:rFonts w:ascii="Times New Roman" w:eastAsia="Malgun Gothic" w:hAnsi="Times New Roman" w:cs="Times New Roman"/>
                <w:sz w:val="18"/>
                <w:szCs w:val="20"/>
                <w:lang w:val="sv-SE" w:eastAsia="ko-KR"/>
              </w:rPr>
              <w:t xml:space="preserve">. </w:t>
            </w:r>
          </w:p>
          <w:p w14:paraId="14866744" w14:textId="7A8394DB"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E8275D">
              <w:rPr>
                <w:rFonts w:ascii="Times New Roman" w:eastAsia="Malgun Gothic" w:hAnsi="Times New Roman" w:cs="Times New Roman"/>
                <w:sz w:val="18"/>
                <w:szCs w:val="20"/>
                <w:lang w:eastAsia="ko-KR"/>
              </w:rPr>
              <w:t>gNB Antenna has physical down-tilt of 1</w:t>
            </w:r>
            <w:r>
              <w:rPr>
                <w:rFonts w:ascii="Times New Roman" w:eastAsia="Malgun Gothic" w:hAnsi="Times New Roman" w:cs="Times New Roman"/>
                <w:sz w:val="18"/>
                <w:szCs w:val="20"/>
                <w:lang w:eastAsia="ko-KR"/>
              </w:rPr>
              <w:t>4</w:t>
            </w:r>
            <w:r w:rsidRPr="00E8275D">
              <w:rPr>
                <w:rFonts w:ascii="Times New Roman" w:eastAsia="Malgun Gothic" w:hAnsi="Times New Roman" w:cs="Times New Roman"/>
                <w:sz w:val="18"/>
                <w:szCs w:val="20"/>
                <w:lang w:eastAsia="ko-KR"/>
              </w:rPr>
              <w:t xml:space="preserve"> degrees </w:t>
            </w:r>
          </w:p>
        </w:tc>
      </w:tr>
      <w:tr w:rsidR="007012A5" w:rsidRPr="005D045E" w14:paraId="0875BF06" w14:textId="77777777" w:rsidTr="00F47544">
        <w:tc>
          <w:tcPr>
            <w:tcW w:w="2605" w:type="dxa"/>
          </w:tcPr>
          <w:p w14:paraId="4D72ED36" w14:textId="18BDF8AE" w:rsidR="007012A5" w:rsidRPr="005D045E"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Duplex method</w:t>
            </w:r>
          </w:p>
        </w:tc>
        <w:tc>
          <w:tcPr>
            <w:tcW w:w="7200" w:type="dxa"/>
          </w:tcPr>
          <w:p w14:paraId="4D0308CF" w14:textId="34FBAF9D" w:rsidR="007012A5" w:rsidRPr="00D259A5" w:rsidRDefault="007012A5" w:rsidP="00F47544">
            <w:pPr>
              <w:snapToGrid w:val="0"/>
              <w:spacing w:after="0" w:line="240" w:lineRule="auto"/>
              <w:rPr>
                <w:rFonts w:ascii="Times New Roman" w:eastAsia="Malgun Gothic" w:hAnsi="Times New Roman" w:cs="Times New Roman"/>
                <w:sz w:val="18"/>
                <w:szCs w:val="20"/>
                <w:lang w:val="sv-SE" w:eastAsia="ko-KR"/>
              </w:rPr>
            </w:pPr>
            <w:r>
              <w:rPr>
                <w:rFonts w:ascii="Times New Roman" w:eastAsia="Malgun Gothic" w:hAnsi="Times New Roman" w:cs="Times New Roman"/>
                <w:sz w:val="18"/>
                <w:szCs w:val="20"/>
                <w:lang w:val="sv-SE" w:eastAsia="ko-KR"/>
              </w:rPr>
              <w:t>TDD 3:1</w:t>
            </w:r>
          </w:p>
        </w:tc>
      </w:tr>
      <w:tr w:rsidR="00D259A5" w:rsidRPr="005D045E" w14:paraId="56323626" w14:textId="77777777" w:rsidTr="00F47544">
        <w:tc>
          <w:tcPr>
            <w:tcW w:w="2605" w:type="dxa"/>
          </w:tcPr>
          <w:p w14:paraId="07B795EE"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UE Antenna Configuration</w:t>
            </w:r>
          </w:p>
        </w:tc>
        <w:tc>
          <w:tcPr>
            <w:tcW w:w="7200" w:type="dxa"/>
          </w:tcPr>
          <w:p w14:paraId="001C3BE3" w14:textId="6F555EE9"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 xml:space="preserve">(M, N, P) = (1, </w:t>
            </w:r>
            <w:r w:rsidR="007012A5">
              <w:rPr>
                <w:rFonts w:ascii="Times New Roman" w:eastAsia="Malgun Gothic" w:hAnsi="Times New Roman" w:cs="Times New Roman"/>
                <w:sz w:val="18"/>
                <w:szCs w:val="20"/>
                <w:lang w:eastAsia="ko-KR"/>
              </w:rPr>
              <w:t>2</w:t>
            </w:r>
            <w:r w:rsidRPr="005D045E">
              <w:rPr>
                <w:rFonts w:ascii="Times New Roman" w:eastAsia="Malgun Gothic" w:hAnsi="Times New Roman" w:cs="Times New Roman"/>
                <w:sz w:val="18"/>
                <w:szCs w:val="20"/>
                <w:lang w:eastAsia="ko-KR"/>
              </w:rPr>
              <w:t>, 2),</w:t>
            </w:r>
            <w:r w:rsidR="007012A5">
              <w:rPr>
                <w:rFonts w:ascii="Times New Roman" w:eastAsia="Malgun Gothic" w:hAnsi="Times New Roman" w:cs="Times New Roman"/>
                <w:sz w:val="18"/>
                <w:szCs w:val="20"/>
                <w:lang w:eastAsia="ko-KR"/>
              </w:rPr>
              <w:t xml:space="preserve"> or </w:t>
            </w:r>
            <w:r w:rsidRPr="005D045E">
              <w:rPr>
                <w:rFonts w:ascii="Times New Roman" w:eastAsia="Malgun Gothic" w:hAnsi="Times New Roman" w:cs="Times New Roman"/>
                <w:sz w:val="18"/>
                <w:szCs w:val="20"/>
                <w:lang w:eastAsia="ko-KR"/>
              </w:rPr>
              <w:t xml:space="preserve"> </w:t>
            </w:r>
            <w:r w:rsidR="007012A5" w:rsidRPr="005D045E">
              <w:rPr>
                <w:rFonts w:ascii="Times New Roman" w:eastAsia="Malgun Gothic" w:hAnsi="Times New Roman" w:cs="Times New Roman"/>
                <w:sz w:val="18"/>
                <w:szCs w:val="20"/>
                <w:lang w:eastAsia="ko-KR"/>
              </w:rPr>
              <w:t xml:space="preserve">(M, N, P) = (1, </w:t>
            </w:r>
            <w:r w:rsidR="007012A5">
              <w:rPr>
                <w:rFonts w:ascii="Times New Roman" w:eastAsia="Malgun Gothic" w:hAnsi="Times New Roman" w:cs="Times New Roman"/>
                <w:sz w:val="18"/>
                <w:szCs w:val="20"/>
                <w:lang w:eastAsia="ko-KR"/>
              </w:rPr>
              <w:t>1</w:t>
            </w:r>
            <w:r w:rsidR="007012A5" w:rsidRPr="005D045E">
              <w:rPr>
                <w:rFonts w:ascii="Times New Roman" w:eastAsia="Malgun Gothic" w:hAnsi="Times New Roman" w:cs="Times New Roman"/>
                <w:sz w:val="18"/>
                <w:szCs w:val="20"/>
                <w:lang w:eastAsia="ko-KR"/>
              </w:rPr>
              <w:t>, 2)</w:t>
            </w:r>
            <w:r w:rsidR="007012A5">
              <w:rPr>
                <w:rFonts w:ascii="Times New Roman" w:eastAsia="Malgun Gothic" w:hAnsi="Times New Roman" w:cs="Times New Roman"/>
                <w:sz w:val="18"/>
                <w:szCs w:val="20"/>
                <w:lang w:eastAsia="ko-KR"/>
              </w:rPr>
              <w:t xml:space="preserve"> </w:t>
            </w:r>
            <w:r w:rsidR="007012A5" w:rsidRPr="005D045E">
              <w:rPr>
                <w:rFonts w:ascii="Times New Roman" w:eastAsia="Malgun Gothic" w:hAnsi="Times New Roman" w:cs="Times New Roman"/>
                <w:sz w:val="18"/>
                <w:szCs w:val="20"/>
                <w:lang w:eastAsia="ko-KR"/>
              </w:rPr>
              <w:t xml:space="preserve"> </w:t>
            </w:r>
          </w:p>
        </w:tc>
      </w:tr>
      <w:tr w:rsidR="00D259A5" w:rsidRPr="005D045E" w14:paraId="37E2C6A4" w14:textId="77777777" w:rsidTr="00F47544">
        <w:tc>
          <w:tcPr>
            <w:tcW w:w="2605" w:type="dxa"/>
          </w:tcPr>
          <w:p w14:paraId="5F5442F8"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Link adaptation</w:t>
            </w:r>
          </w:p>
        </w:tc>
        <w:tc>
          <w:tcPr>
            <w:tcW w:w="7200" w:type="dxa"/>
          </w:tcPr>
          <w:p w14:paraId="3E9A134A" w14:textId="693D53DF"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Outer loop adaptation</w:t>
            </w:r>
            <w:r w:rsidRPr="00E8275D">
              <w:rPr>
                <w:rFonts w:ascii="Times New Roman" w:eastAsia="Malgun Gothic" w:hAnsi="Times New Roman" w:cs="Times New Roman"/>
                <w:sz w:val="18"/>
                <w:szCs w:val="20"/>
                <w:lang w:eastAsia="ko-KR"/>
              </w:rPr>
              <w:t xml:space="preserve"> </w:t>
            </w:r>
            <w:r>
              <w:rPr>
                <w:rFonts w:ascii="Times New Roman" w:eastAsia="Malgun Gothic" w:hAnsi="Times New Roman" w:cs="Times New Roman"/>
                <w:sz w:val="18"/>
                <w:szCs w:val="20"/>
                <w:lang w:eastAsia="ko-KR"/>
              </w:rPr>
              <w:t xml:space="preserve">+ </w:t>
            </w:r>
            <w:r w:rsidR="007012A5">
              <w:rPr>
                <w:rFonts w:ascii="Times New Roman" w:eastAsia="Malgun Gothic" w:hAnsi="Times New Roman" w:cs="Times New Roman"/>
                <w:sz w:val="18"/>
                <w:szCs w:val="20"/>
                <w:lang w:eastAsia="ko-KR"/>
              </w:rPr>
              <w:t>32-port CSI-RS Type I codebook</w:t>
            </w:r>
          </w:p>
        </w:tc>
      </w:tr>
      <w:tr w:rsidR="00D259A5" w:rsidRPr="005D045E" w14:paraId="50E24618" w14:textId="77777777" w:rsidTr="00F47544">
        <w:tc>
          <w:tcPr>
            <w:tcW w:w="2605" w:type="dxa"/>
            <w:shd w:val="clear" w:color="auto" w:fill="auto"/>
            <w:vAlign w:val="center"/>
          </w:tcPr>
          <w:p w14:paraId="49B20B9A"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color w:val="000000"/>
                <w:kern w:val="24"/>
                <w:sz w:val="18"/>
                <w:szCs w:val="20"/>
                <w:lang w:val="en-GB" w:eastAsia="ko-KR"/>
              </w:rPr>
              <w:t>Control and RS overhead</w:t>
            </w:r>
          </w:p>
        </w:tc>
        <w:tc>
          <w:tcPr>
            <w:tcW w:w="7200" w:type="dxa"/>
            <w:shd w:val="clear" w:color="auto" w:fill="auto"/>
            <w:vAlign w:val="center"/>
          </w:tcPr>
          <w:p w14:paraId="4E73F09B" w14:textId="24E6EDDE" w:rsidR="00D259A5" w:rsidRPr="005D045E"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Explicit modelling of control and RS overhead</w:t>
            </w:r>
          </w:p>
        </w:tc>
      </w:tr>
      <w:tr w:rsidR="00D259A5" w:rsidRPr="005D045E" w14:paraId="78E8659C" w14:textId="77777777" w:rsidTr="00F47544">
        <w:tc>
          <w:tcPr>
            <w:tcW w:w="2605" w:type="dxa"/>
            <w:shd w:val="clear" w:color="auto" w:fill="auto"/>
            <w:vAlign w:val="center"/>
          </w:tcPr>
          <w:p w14:paraId="13A7F41E"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color w:val="000000"/>
                <w:kern w:val="24"/>
                <w:sz w:val="18"/>
                <w:szCs w:val="20"/>
                <w:lang w:val="en-GB" w:eastAsia="ko-KR"/>
              </w:rPr>
              <w:t>Transmission scheme</w:t>
            </w:r>
          </w:p>
        </w:tc>
        <w:tc>
          <w:tcPr>
            <w:tcW w:w="7200" w:type="dxa"/>
            <w:shd w:val="clear" w:color="auto" w:fill="auto"/>
            <w:vAlign w:val="center"/>
          </w:tcPr>
          <w:p w14:paraId="2D4CDDDE" w14:textId="31E1DBD8" w:rsidR="00D259A5" w:rsidRPr="005D045E"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kern w:val="24"/>
                <w:sz w:val="18"/>
                <w:szCs w:val="20"/>
                <w:lang w:val="en-GB" w:eastAsia="ko-KR"/>
              </w:rPr>
              <w:t>U</w:t>
            </w:r>
            <w:r w:rsidR="00D259A5" w:rsidRPr="00E8275D">
              <w:rPr>
                <w:rFonts w:ascii="Times New Roman" w:eastAsia="Malgun Gothic" w:hAnsi="Times New Roman" w:cs="Times New Roman"/>
                <w:kern w:val="24"/>
                <w:sz w:val="18"/>
                <w:szCs w:val="20"/>
                <w:lang w:val="en-GB" w:eastAsia="ko-KR"/>
              </w:rPr>
              <w:t xml:space="preserve">p to rank </w:t>
            </w:r>
            <w:r>
              <w:rPr>
                <w:rFonts w:ascii="Times New Roman" w:eastAsia="Malgun Gothic" w:hAnsi="Times New Roman" w:cs="Times New Roman"/>
                <w:kern w:val="24"/>
                <w:sz w:val="18"/>
                <w:szCs w:val="20"/>
                <w:lang w:val="en-GB" w:eastAsia="ko-KR"/>
              </w:rPr>
              <w:t>4</w:t>
            </w:r>
            <w:r w:rsidR="00D259A5">
              <w:rPr>
                <w:rFonts w:ascii="Times New Roman" w:eastAsia="Malgun Gothic" w:hAnsi="Times New Roman" w:cs="Times New Roman"/>
                <w:kern w:val="24"/>
                <w:sz w:val="18"/>
                <w:szCs w:val="20"/>
                <w:lang w:val="en-GB" w:eastAsia="ko-KR"/>
              </w:rPr>
              <w:t xml:space="preserve"> transmission</w:t>
            </w:r>
          </w:p>
        </w:tc>
      </w:tr>
      <w:tr w:rsidR="00D259A5" w:rsidRPr="005D045E" w14:paraId="530933A3" w14:textId="77777777" w:rsidTr="00F47544">
        <w:tc>
          <w:tcPr>
            <w:tcW w:w="2605" w:type="dxa"/>
          </w:tcPr>
          <w:p w14:paraId="7DC95744"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Algorithm details (when applicable)</w:t>
            </w:r>
          </w:p>
        </w:tc>
        <w:tc>
          <w:tcPr>
            <w:tcW w:w="7200" w:type="dxa"/>
          </w:tcPr>
          <w:p w14:paraId="3025C6F6" w14:textId="77777777" w:rsidR="00D259A5" w:rsidRDefault="00D259A5" w:rsidP="00F47544">
            <w:pPr>
              <w:snapToGrid w:val="0"/>
              <w:spacing w:after="0" w:line="240" w:lineRule="auto"/>
              <w:rPr>
                <w:rFonts w:ascii="Times New Roman" w:eastAsia="SimSun" w:hAnsi="Times New Roman" w:cs="Times New Roman"/>
                <w:sz w:val="18"/>
                <w:szCs w:val="20"/>
              </w:rPr>
            </w:pPr>
            <w:r w:rsidRPr="005D045E">
              <w:rPr>
                <w:rFonts w:ascii="Times New Roman" w:eastAsia="SimSun" w:hAnsi="Times New Roman" w:cs="Times New Roman"/>
                <w:sz w:val="18"/>
                <w:szCs w:val="20"/>
              </w:rPr>
              <w:t xml:space="preserve">Beam </w:t>
            </w:r>
            <w:r>
              <w:rPr>
                <w:rFonts w:ascii="Times New Roman" w:eastAsia="SimSun" w:hAnsi="Times New Roman" w:cs="Times New Roman"/>
                <w:sz w:val="18"/>
                <w:szCs w:val="20"/>
              </w:rPr>
              <w:t>update</w:t>
            </w:r>
            <w:r w:rsidRPr="005D045E">
              <w:rPr>
                <w:rFonts w:ascii="Times New Roman" w:eastAsia="SimSun" w:hAnsi="Times New Roman" w:cs="Times New Roman"/>
                <w:sz w:val="18"/>
                <w:szCs w:val="20"/>
              </w:rPr>
              <w:t xml:space="preserve"> mechanism</w:t>
            </w:r>
            <w:r>
              <w:rPr>
                <w:rFonts w:ascii="Times New Roman" w:eastAsia="SimSun" w:hAnsi="Times New Roman" w:cs="Times New Roman"/>
                <w:sz w:val="18"/>
                <w:szCs w:val="20"/>
              </w:rPr>
              <w:t>: Exhaustive joint P2 &amp; P3 sweep every {10, 20, 80, 160, 240} ms</w:t>
            </w:r>
          </w:p>
          <w:p w14:paraId="344E9D91" w14:textId="77777777" w:rsidR="00D259A5" w:rsidRPr="005D045E" w:rsidRDefault="00D259A5" w:rsidP="00F47544">
            <w:pPr>
              <w:snapToGrid w:val="0"/>
              <w:spacing w:after="0" w:line="240" w:lineRule="auto"/>
              <w:rPr>
                <w:rFonts w:ascii="Times New Roman" w:eastAsia="SimSun" w:hAnsi="Times New Roman" w:cs="Times New Roman"/>
                <w:sz w:val="18"/>
                <w:szCs w:val="20"/>
              </w:rPr>
            </w:pPr>
            <w:r>
              <w:rPr>
                <w:rFonts w:ascii="Times New Roman" w:eastAsia="SimSun" w:hAnsi="Times New Roman" w:cs="Times New Roman"/>
                <w:sz w:val="18"/>
                <w:szCs w:val="20"/>
              </w:rPr>
              <w:t>Beam activation delay: Configured with {1 slot, 4 ms, 12 ms, 36 ms} activation delay</w:t>
            </w:r>
          </w:p>
          <w:p w14:paraId="46FF811E" w14:textId="77777777" w:rsidR="00D259A5" w:rsidRPr="005D045E" w:rsidRDefault="00D259A5" w:rsidP="00F47544">
            <w:pPr>
              <w:snapToGrid w:val="0"/>
              <w:spacing w:after="0" w:line="240" w:lineRule="auto"/>
              <w:rPr>
                <w:rFonts w:ascii="Times New Roman" w:eastAsia="SimSun" w:hAnsi="Times New Roman" w:cs="Times New Roman"/>
                <w:sz w:val="18"/>
                <w:szCs w:val="20"/>
              </w:rPr>
            </w:pPr>
            <w:r w:rsidRPr="005D045E">
              <w:rPr>
                <w:rFonts w:ascii="Times New Roman" w:eastAsia="SimSun" w:hAnsi="Times New Roman" w:cs="Times New Roman"/>
                <w:sz w:val="18"/>
                <w:szCs w:val="20"/>
              </w:rPr>
              <w:t>Beam metric</w:t>
            </w:r>
            <w:r>
              <w:rPr>
                <w:rFonts w:ascii="Times New Roman" w:eastAsia="SimSun" w:hAnsi="Times New Roman" w:cs="Times New Roman"/>
                <w:sz w:val="18"/>
                <w:szCs w:val="20"/>
              </w:rPr>
              <w:t>:</w:t>
            </w:r>
            <w:r w:rsidRPr="005D045E">
              <w:rPr>
                <w:rFonts w:ascii="Times New Roman" w:eastAsia="SimSun" w:hAnsi="Times New Roman" w:cs="Times New Roman"/>
                <w:sz w:val="18"/>
                <w:szCs w:val="20"/>
              </w:rPr>
              <w:t xml:space="preserve"> L1-RSRP</w:t>
            </w:r>
            <w:r>
              <w:rPr>
                <w:rFonts w:ascii="Times New Roman" w:eastAsia="SimSun" w:hAnsi="Times New Roman" w:cs="Times New Roman"/>
                <w:sz w:val="18"/>
                <w:szCs w:val="20"/>
              </w:rPr>
              <w:t xml:space="preserve"> (</w:t>
            </w:r>
            <w:r w:rsidRPr="00324AF2">
              <w:rPr>
                <w:rFonts w:ascii="Times New Roman" w:eastAsia="SimSun" w:hAnsi="Times New Roman" w:cs="Times New Roman"/>
                <w:sz w:val="18"/>
                <w:szCs w:val="20"/>
              </w:rPr>
              <w:t>from full bandwidth beamformed path gain</w:t>
            </w:r>
            <w:r>
              <w:rPr>
                <w:rFonts w:ascii="Times New Roman" w:eastAsia="SimSun" w:hAnsi="Times New Roman" w:cs="Times New Roman"/>
                <w:sz w:val="18"/>
                <w:szCs w:val="20"/>
              </w:rPr>
              <w:t>)</w:t>
            </w:r>
          </w:p>
        </w:tc>
      </w:tr>
      <w:tr w:rsidR="00D259A5" w:rsidRPr="005D045E" w14:paraId="71C52A9D" w14:textId="77777777" w:rsidTr="00F47544">
        <w:tc>
          <w:tcPr>
            <w:tcW w:w="2605" w:type="dxa"/>
          </w:tcPr>
          <w:p w14:paraId="230EE8F5"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Other potential impairments</w:t>
            </w:r>
          </w:p>
        </w:tc>
        <w:tc>
          <w:tcPr>
            <w:tcW w:w="7200" w:type="dxa"/>
          </w:tcPr>
          <w:p w14:paraId="0E0BB255"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sidRPr="005D045E">
              <w:rPr>
                <w:rFonts w:ascii="Times New Roman" w:eastAsia="Malgun Gothic" w:hAnsi="Times New Roman" w:cs="Times New Roman"/>
                <w:sz w:val="18"/>
                <w:szCs w:val="20"/>
                <w:lang w:eastAsia="ko-KR"/>
              </w:rPr>
              <w:t>Not modelled (assumed ideal)</w:t>
            </w:r>
          </w:p>
        </w:tc>
      </w:tr>
      <w:tr w:rsidR="00D259A5" w:rsidRPr="005D045E" w14:paraId="5451B33F" w14:textId="77777777" w:rsidTr="00F47544">
        <w:tc>
          <w:tcPr>
            <w:tcW w:w="2605" w:type="dxa"/>
          </w:tcPr>
          <w:p w14:paraId="3400AAAB"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Target BLER</w:t>
            </w:r>
          </w:p>
        </w:tc>
        <w:tc>
          <w:tcPr>
            <w:tcW w:w="7200" w:type="dxa"/>
          </w:tcPr>
          <w:p w14:paraId="18A02FAD" w14:textId="259BE30E"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 xml:space="preserve">10% </w:t>
            </w:r>
          </w:p>
        </w:tc>
      </w:tr>
      <w:tr w:rsidR="00D259A5" w:rsidRPr="005D045E" w14:paraId="7DFB4404" w14:textId="77777777" w:rsidTr="00F47544">
        <w:tc>
          <w:tcPr>
            <w:tcW w:w="2605" w:type="dxa"/>
          </w:tcPr>
          <w:p w14:paraId="5D5668F4" w14:textId="77777777" w:rsidR="00D259A5" w:rsidRPr="005D045E"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Scenario</w:t>
            </w:r>
          </w:p>
        </w:tc>
        <w:tc>
          <w:tcPr>
            <w:tcW w:w="7200" w:type="dxa"/>
          </w:tcPr>
          <w:p w14:paraId="57053626" w14:textId="462637E2" w:rsidR="00D259A5" w:rsidRPr="00AF32E0" w:rsidRDefault="00D259A5" w:rsidP="00F47544">
            <w:pPr>
              <w:snapToGrid w:val="0"/>
              <w:spacing w:line="240" w:lineRule="auto"/>
              <w:rPr>
                <w:rFonts w:ascii="Times New Roman" w:eastAsia="Malgun Gothic" w:hAnsi="Times New Roman" w:cs="Times New Roman"/>
                <w:sz w:val="18"/>
                <w:szCs w:val="20"/>
                <w:lang w:val="x-none" w:eastAsia="ko-KR"/>
              </w:rPr>
            </w:pPr>
            <w:r w:rsidRPr="00AF32E0">
              <w:rPr>
                <w:rFonts w:ascii="Times New Roman" w:hAnsi="Times New Roman" w:cs="Times New Roman"/>
                <w:sz w:val="18"/>
                <w:szCs w:val="18"/>
              </w:rPr>
              <w:t>Dense Urban (macro-layer only, TR 38.913</w:t>
            </w:r>
            <w:r>
              <w:rPr>
                <w:rFonts w:ascii="Times New Roman" w:hAnsi="Times New Roman" w:cs="Times New Roman"/>
                <w:sz w:val="18"/>
                <w:szCs w:val="18"/>
              </w:rPr>
              <w:t>)</w:t>
            </w:r>
            <w:r w:rsidRPr="00AF32E0">
              <w:rPr>
                <w:rFonts w:ascii="Times New Roman" w:hAnsi="Times New Roman" w:cs="Times New Roman"/>
                <w:sz w:val="18"/>
                <w:szCs w:val="18"/>
              </w:rPr>
              <w:t>, 200m ISD, 2-tier model with wrap-around (7 sites, 3 sectors/cells per site), 100% outdoor</w:t>
            </w:r>
            <w:r>
              <w:rPr>
                <w:rFonts w:ascii="Times New Roman" w:hAnsi="Times New Roman" w:cs="Times New Roman"/>
                <w:sz w:val="18"/>
                <w:szCs w:val="18"/>
              </w:rPr>
              <w:t xml:space="preserve"> </w:t>
            </w:r>
          </w:p>
        </w:tc>
      </w:tr>
      <w:tr w:rsidR="00D259A5" w:rsidRPr="005D045E" w14:paraId="37D14E3B" w14:textId="77777777" w:rsidTr="00F47544">
        <w:tc>
          <w:tcPr>
            <w:tcW w:w="2605" w:type="dxa"/>
          </w:tcPr>
          <w:p w14:paraId="2B6D4318" w14:textId="77777777" w:rsidR="00D259A5" w:rsidRDefault="00D259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lastRenderedPageBreak/>
              <w:t>Channel model</w:t>
            </w:r>
          </w:p>
        </w:tc>
        <w:tc>
          <w:tcPr>
            <w:tcW w:w="7200" w:type="dxa"/>
          </w:tcPr>
          <w:p w14:paraId="00F7A714" w14:textId="16FC5809" w:rsidR="00D259A5" w:rsidRPr="00AF32E0" w:rsidRDefault="00D259A5"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UMa 5G (TR 38.901), outdoor</w:t>
            </w:r>
          </w:p>
        </w:tc>
      </w:tr>
      <w:tr w:rsidR="007012A5" w:rsidRPr="005D045E" w14:paraId="6C36085A" w14:textId="77777777" w:rsidTr="00F47544">
        <w:tc>
          <w:tcPr>
            <w:tcW w:w="2605" w:type="dxa"/>
          </w:tcPr>
          <w:p w14:paraId="794AEBFD" w14:textId="2031FAB5" w:rsidR="007012A5"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BS Tx power</w:t>
            </w:r>
          </w:p>
        </w:tc>
        <w:tc>
          <w:tcPr>
            <w:tcW w:w="7200" w:type="dxa"/>
          </w:tcPr>
          <w:p w14:paraId="4A4C4D15" w14:textId="5E422BE4" w:rsidR="007012A5" w:rsidRDefault="007012A5"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49dBm</w:t>
            </w:r>
          </w:p>
        </w:tc>
      </w:tr>
      <w:tr w:rsidR="007012A5" w:rsidRPr="005D045E" w14:paraId="093AE868" w14:textId="77777777" w:rsidTr="00F47544">
        <w:tc>
          <w:tcPr>
            <w:tcW w:w="2605" w:type="dxa"/>
          </w:tcPr>
          <w:p w14:paraId="672161FE" w14:textId="0C4A3DF1" w:rsidR="007012A5"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BS receiver noise figure</w:t>
            </w:r>
          </w:p>
        </w:tc>
        <w:tc>
          <w:tcPr>
            <w:tcW w:w="7200" w:type="dxa"/>
          </w:tcPr>
          <w:p w14:paraId="06B92E89" w14:textId="30CACF0E" w:rsidR="007012A5" w:rsidRDefault="007012A5"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5dB</w:t>
            </w:r>
          </w:p>
        </w:tc>
      </w:tr>
      <w:tr w:rsidR="007012A5" w:rsidRPr="005D045E" w14:paraId="0331BCC6" w14:textId="77777777" w:rsidTr="00F47544">
        <w:tc>
          <w:tcPr>
            <w:tcW w:w="2605" w:type="dxa"/>
          </w:tcPr>
          <w:p w14:paraId="4B9F754F" w14:textId="4B27F657" w:rsidR="007012A5" w:rsidRDefault="007012A5"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UE receiver noise figure</w:t>
            </w:r>
          </w:p>
        </w:tc>
        <w:tc>
          <w:tcPr>
            <w:tcW w:w="7200" w:type="dxa"/>
          </w:tcPr>
          <w:p w14:paraId="3F643AD4" w14:textId="454CF422" w:rsidR="007012A5" w:rsidRDefault="007012A5"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9dB</w:t>
            </w:r>
          </w:p>
        </w:tc>
      </w:tr>
      <w:tr w:rsidR="0050511F" w:rsidRPr="005D045E" w14:paraId="337B466D" w14:textId="77777777" w:rsidTr="00F47544">
        <w:tc>
          <w:tcPr>
            <w:tcW w:w="2605" w:type="dxa"/>
          </w:tcPr>
          <w:p w14:paraId="6B03F574" w14:textId="47C4695D" w:rsidR="0050511F" w:rsidRDefault="0050511F"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UE distribution</w:t>
            </w:r>
          </w:p>
        </w:tc>
        <w:tc>
          <w:tcPr>
            <w:tcW w:w="7200" w:type="dxa"/>
          </w:tcPr>
          <w:p w14:paraId="11EC5B67" w14:textId="1E90AD0D" w:rsidR="0050511F" w:rsidRDefault="0050511F"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Randomly over the system</w:t>
            </w:r>
          </w:p>
        </w:tc>
      </w:tr>
      <w:tr w:rsidR="00ED1999" w:rsidRPr="005D045E" w14:paraId="202EC670" w14:textId="77777777" w:rsidTr="00F47544">
        <w:tc>
          <w:tcPr>
            <w:tcW w:w="2605" w:type="dxa"/>
          </w:tcPr>
          <w:p w14:paraId="44A9456C" w14:textId="175E9D82" w:rsidR="00ED1999" w:rsidRDefault="00ED1999"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UE receiver</w:t>
            </w:r>
          </w:p>
        </w:tc>
        <w:tc>
          <w:tcPr>
            <w:tcW w:w="7200" w:type="dxa"/>
          </w:tcPr>
          <w:p w14:paraId="2CD91CB3" w14:textId="6B8DDB2B" w:rsidR="00ED1999" w:rsidRDefault="00ED1999"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MMSE-IRC</w:t>
            </w:r>
          </w:p>
        </w:tc>
      </w:tr>
      <w:tr w:rsidR="00ED1999" w:rsidRPr="005D045E" w14:paraId="77B0CAB5" w14:textId="77777777" w:rsidTr="00F47544">
        <w:tc>
          <w:tcPr>
            <w:tcW w:w="2605" w:type="dxa"/>
          </w:tcPr>
          <w:p w14:paraId="11C8E9B3" w14:textId="25C087CE" w:rsidR="00ED1999" w:rsidRDefault="00ED1999" w:rsidP="00F47544">
            <w:pPr>
              <w:snapToGrid w:val="0"/>
              <w:spacing w:after="0" w:line="240" w:lineRule="auto"/>
              <w:rPr>
                <w:rFonts w:ascii="Times New Roman" w:eastAsia="Malgun Gothic" w:hAnsi="Times New Roman" w:cs="Times New Roman"/>
                <w:sz w:val="18"/>
                <w:szCs w:val="20"/>
                <w:lang w:eastAsia="ko-KR"/>
              </w:rPr>
            </w:pPr>
            <w:r>
              <w:rPr>
                <w:rFonts w:ascii="Times New Roman" w:eastAsia="Malgun Gothic" w:hAnsi="Times New Roman" w:cs="Times New Roman"/>
                <w:sz w:val="18"/>
                <w:szCs w:val="20"/>
                <w:lang w:eastAsia="ko-KR"/>
              </w:rPr>
              <w:t>CSI feedback</w:t>
            </w:r>
          </w:p>
        </w:tc>
        <w:tc>
          <w:tcPr>
            <w:tcW w:w="7200" w:type="dxa"/>
          </w:tcPr>
          <w:p w14:paraId="63BA2881" w14:textId="239979AA" w:rsidR="00ED1999" w:rsidRDefault="00ED1999" w:rsidP="00F47544">
            <w:pPr>
              <w:snapToGrid w:val="0"/>
              <w:spacing w:line="240" w:lineRule="auto"/>
              <w:rPr>
                <w:rFonts w:ascii="Times New Roman" w:hAnsi="Times New Roman" w:cs="Times New Roman"/>
                <w:sz w:val="18"/>
                <w:szCs w:val="18"/>
              </w:rPr>
            </w:pPr>
            <w:r>
              <w:rPr>
                <w:rFonts w:ascii="Times New Roman" w:hAnsi="Times New Roman" w:cs="Times New Roman"/>
                <w:sz w:val="18"/>
                <w:szCs w:val="18"/>
              </w:rPr>
              <w:t>Realistic, including CSI quantization</w:t>
            </w:r>
          </w:p>
        </w:tc>
      </w:tr>
    </w:tbl>
    <w:p w14:paraId="4B95EE4B" w14:textId="77777777" w:rsidR="00D259A5" w:rsidRPr="00D259A5" w:rsidRDefault="00D259A5" w:rsidP="00D259A5">
      <w:pPr>
        <w:rPr>
          <w:lang w:val="en-GB" w:eastAsia="ja-JP"/>
        </w:rPr>
      </w:pPr>
    </w:p>
    <w:p w14:paraId="680CC9D6" w14:textId="77777777" w:rsidR="00DB1F21" w:rsidRPr="00DB1F21" w:rsidRDefault="00DB1F21" w:rsidP="00DB1F21">
      <w:pPr>
        <w:rPr>
          <w:lang w:val="en-GB" w:eastAsia="ja-JP"/>
        </w:rPr>
      </w:pPr>
    </w:p>
    <w:p w14:paraId="715CA09B"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5BF81" w14:textId="77777777" w:rsidR="007A44B6" w:rsidRDefault="007A44B6">
      <w:r>
        <w:separator/>
      </w:r>
    </w:p>
  </w:endnote>
  <w:endnote w:type="continuationSeparator" w:id="0">
    <w:p w14:paraId="5B7DC5E2" w14:textId="77777777" w:rsidR="007A44B6" w:rsidRDefault="007A44B6">
      <w:r>
        <w:continuationSeparator/>
      </w:r>
    </w:p>
  </w:endnote>
  <w:endnote w:type="continuationNotice" w:id="1">
    <w:p w14:paraId="192C4C54" w14:textId="77777777" w:rsidR="003450D2" w:rsidRDefault="00345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37A23" w14:textId="77777777" w:rsidR="007A44B6" w:rsidRDefault="007A44B6">
      <w:r>
        <w:separator/>
      </w:r>
    </w:p>
  </w:footnote>
  <w:footnote w:type="continuationSeparator" w:id="0">
    <w:p w14:paraId="4DFCDA6D" w14:textId="77777777" w:rsidR="007A44B6" w:rsidRDefault="007A44B6">
      <w:r>
        <w:continuationSeparator/>
      </w:r>
    </w:p>
  </w:footnote>
  <w:footnote w:type="continuationNotice" w:id="1">
    <w:p w14:paraId="4216A745" w14:textId="77777777" w:rsidR="003450D2" w:rsidRDefault="003450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6543C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ADE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7"/>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268"/>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4C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9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643"/>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DCF"/>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0D2"/>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3CA"/>
    <w:rsid w:val="00470C31"/>
    <w:rsid w:val="00471DE0"/>
    <w:rsid w:val="004734D0"/>
    <w:rsid w:val="0047556B"/>
    <w:rsid w:val="00477768"/>
    <w:rsid w:val="00483FF9"/>
    <w:rsid w:val="00492BC5"/>
    <w:rsid w:val="004964F1"/>
    <w:rsid w:val="004A16BC"/>
    <w:rsid w:val="004A2B94"/>
    <w:rsid w:val="004B6F6A"/>
    <w:rsid w:val="004B7C0C"/>
    <w:rsid w:val="004C3898"/>
    <w:rsid w:val="004D36B1"/>
    <w:rsid w:val="004D7EBD"/>
    <w:rsid w:val="004E2680"/>
    <w:rsid w:val="004E28F9"/>
    <w:rsid w:val="004E462E"/>
    <w:rsid w:val="004E56DC"/>
    <w:rsid w:val="004E68BA"/>
    <w:rsid w:val="004E76F4"/>
    <w:rsid w:val="004F0B4E"/>
    <w:rsid w:val="004F0B6C"/>
    <w:rsid w:val="004F2078"/>
    <w:rsid w:val="004F3A54"/>
    <w:rsid w:val="004F4DA3"/>
    <w:rsid w:val="0050511F"/>
    <w:rsid w:val="00506557"/>
    <w:rsid w:val="0050677A"/>
    <w:rsid w:val="005108D8"/>
    <w:rsid w:val="005116F9"/>
    <w:rsid w:val="00513D31"/>
    <w:rsid w:val="005153A7"/>
    <w:rsid w:val="005219CF"/>
    <w:rsid w:val="00534B59"/>
    <w:rsid w:val="00536759"/>
    <w:rsid w:val="00537C62"/>
    <w:rsid w:val="00540155"/>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7B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1C64"/>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2"/>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2A5"/>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9A6"/>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467"/>
    <w:rsid w:val="007D5901"/>
    <w:rsid w:val="007D7526"/>
    <w:rsid w:val="007E4610"/>
    <w:rsid w:val="007E4715"/>
    <w:rsid w:val="007E505B"/>
    <w:rsid w:val="007E7091"/>
    <w:rsid w:val="00803FAE"/>
    <w:rsid w:val="00804048"/>
    <w:rsid w:val="0080605F"/>
    <w:rsid w:val="00807786"/>
    <w:rsid w:val="00811FCB"/>
    <w:rsid w:val="008158D6"/>
    <w:rsid w:val="00817196"/>
    <w:rsid w:val="008235DB"/>
    <w:rsid w:val="00824AB4"/>
    <w:rsid w:val="00825C42"/>
    <w:rsid w:val="00825D25"/>
    <w:rsid w:val="00827D6F"/>
    <w:rsid w:val="0083546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2D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617"/>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7E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001"/>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5032"/>
    <w:rsid w:val="00AF1C5D"/>
    <w:rsid w:val="00AF42D7"/>
    <w:rsid w:val="00B006FE"/>
    <w:rsid w:val="00B007CB"/>
    <w:rsid w:val="00B02AA9"/>
    <w:rsid w:val="00B02FA3"/>
    <w:rsid w:val="00B05084"/>
    <w:rsid w:val="00B157F9"/>
    <w:rsid w:val="00B15EE2"/>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4C"/>
    <w:rsid w:val="00C279B5"/>
    <w:rsid w:val="00C27C45"/>
    <w:rsid w:val="00C3719D"/>
    <w:rsid w:val="00C37CB2"/>
    <w:rsid w:val="00C37E77"/>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A75"/>
    <w:rsid w:val="00CB7170"/>
    <w:rsid w:val="00CC040E"/>
    <w:rsid w:val="00CC111F"/>
    <w:rsid w:val="00CC2011"/>
    <w:rsid w:val="00CC3EA0"/>
    <w:rsid w:val="00CC7B45"/>
    <w:rsid w:val="00CD1188"/>
    <w:rsid w:val="00CD2ED1"/>
    <w:rsid w:val="00CD337B"/>
    <w:rsid w:val="00CD33A0"/>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9A5"/>
    <w:rsid w:val="00D36E71"/>
    <w:rsid w:val="00D37D87"/>
    <w:rsid w:val="00D40B33"/>
    <w:rsid w:val="00D4318F"/>
    <w:rsid w:val="00D438BF"/>
    <w:rsid w:val="00D440F8"/>
    <w:rsid w:val="00D5283B"/>
    <w:rsid w:val="00D546FF"/>
    <w:rsid w:val="00D55AD5"/>
    <w:rsid w:val="00D576CA"/>
    <w:rsid w:val="00D61AF5"/>
    <w:rsid w:val="00D652B5"/>
    <w:rsid w:val="00D66155"/>
    <w:rsid w:val="00D708B0"/>
    <w:rsid w:val="00D766A7"/>
    <w:rsid w:val="00D77B1D"/>
    <w:rsid w:val="00D8021F"/>
    <w:rsid w:val="00D80383"/>
    <w:rsid w:val="00D823C6"/>
    <w:rsid w:val="00D8327F"/>
    <w:rsid w:val="00D86CA3"/>
    <w:rsid w:val="00D871CE"/>
    <w:rsid w:val="00D9196D"/>
    <w:rsid w:val="00D92982"/>
    <w:rsid w:val="00DA305E"/>
    <w:rsid w:val="00DA5417"/>
    <w:rsid w:val="00DA56E8"/>
    <w:rsid w:val="00DB0A9F"/>
    <w:rsid w:val="00DB1F21"/>
    <w:rsid w:val="00DB377D"/>
    <w:rsid w:val="00DC2D36"/>
    <w:rsid w:val="00DC53EF"/>
    <w:rsid w:val="00DE5608"/>
    <w:rsid w:val="00DE58D0"/>
    <w:rsid w:val="00DE654F"/>
    <w:rsid w:val="00DF0B6E"/>
    <w:rsid w:val="00DF15E0"/>
    <w:rsid w:val="00DF37A0"/>
    <w:rsid w:val="00E110E7"/>
    <w:rsid w:val="00E11B20"/>
    <w:rsid w:val="00E17FA2"/>
    <w:rsid w:val="00E22330"/>
    <w:rsid w:val="00E275A4"/>
    <w:rsid w:val="00E30B5A"/>
    <w:rsid w:val="00E3123D"/>
    <w:rsid w:val="00E31461"/>
    <w:rsid w:val="00E31D43"/>
    <w:rsid w:val="00E32608"/>
    <w:rsid w:val="00E34188"/>
    <w:rsid w:val="00E34B6E"/>
    <w:rsid w:val="00E35559"/>
    <w:rsid w:val="00E3723A"/>
    <w:rsid w:val="00E37860"/>
    <w:rsid w:val="00E40BB4"/>
    <w:rsid w:val="00E446F1"/>
    <w:rsid w:val="00E46886"/>
    <w:rsid w:val="00E47AEF"/>
    <w:rsid w:val="00E53B75"/>
    <w:rsid w:val="00E54E3B"/>
    <w:rsid w:val="00E57565"/>
    <w:rsid w:val="00E60B8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199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37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http://schemas.microsoft.com/office/2006/metadata/properties"/>
    <ds:schemaRef ds:uri="http://www.w3.org/XML/1998/namespace"/>
    <ds:schemaRef ds:uri="9b239327-9e80-40e4-b1b7-4394fed77a33"/>
    <ds:schemaRef ds:uri="http://schemas.microsoft.com/office/2006/documentManagement/types"/>
    <ds:schemaRef ds:uri="http://purl.org/dc/elements/1.1/"/>
    <ds:schemaRef ds:uri="2f282d3b-eb4a-4b09-b61f-b9593442e286"/>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B55D9EED-6C6E-4DD2-AC17-9583AD302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1129</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21</cp:revision>
  <cp:lastPrinted>2008-01-31T07:09:00Z</cp:lastPrinted>
  <dcterms:created xsi:type="dcterms:W3CDTF">2020-10-15T15:03:00Z</dcterms:created>
  <dcterms:modified xsi:type="dcterms:W3CDTF">2020-10-23T15:44:00Z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